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sz w:val="32"/>
          <w:szCs w:val="32"/>
        </w:rPr>
      </w:pPr>
      <w:bookmarkStart w:id="48" w:name="_GoBack"/>
      <w:bookmarkEnd w:id="48"/>
    </w:p>
    <w:p>
      <w:pPr>
        <w:jc w:val="center"/>
        <w:rPr>
          <w:rFonts w:hint="eastAsia" w:ascii="方正小标宋_GBK" w:hAnsi="宋体" w:eastAsia="方正小标宋_GBK"/>
          <w:sz w:val="44"/>
          <w:szCs w:val="44"/>
        </w:rPr>
      </w:pP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木垒哈萨克自治县木垒镇人民政府</w:t>
      </w: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pPr>
        <w:ind w:firstLine="640" w:firstLineChars="200"/>
        <w:jc w:val="left"/>
        <w:rPr>
          <w:rFonts w:ascii="仿宋_GB2312" w:eastAsia="仿宋_GB2312"/>
          <w:sz w:val="32"/>
          <w:szCs w:val="32"/>
        </w:rPr>
      </w:pPr>
      <w:r>
        <w:rPr>
          <w:rFonts w:hint="eastAsia" w:ascii="仿宋_GB2312" w:eastAsia="仿宋_GB2312"/>
          <w:sz w:val="32"/>
          <w:szCs w:val="32"/>
        </w:rPr>
        <w:t>（1）宣传贯彻党的路线、方针、政策和国家的法律、法规，贯彻执行本级人民代表大会的决议及上级党委、政府的决定、命令和本级党委的决定。</w:t>
      </w:r>
    </w:p>
    <w:p>
      <w:pPr>
        <w:ind w:firstLine="640" w:firstLineChars="200"/>
        <w:jc w:val="left"/>
        <w:rPr>
          <w:rFonts w:ascii="仿宋_GB2312" w:eastAsia="仿宋_GB2312"/>
          <w:sz w:val="32"/>
          <w:szCs w:val="32"/>
        </w:rPr>
      </w:pPr>
      <w:r>
        <w:rPr>
          <w:rFonts w:hint="eastAsia" w:ascii="仿宋_GB2312" w:eastAsia="仿宋_GB2312"/>
          <w:sz w:val="32"/>
          <w:szCs w:val="32"/>
        </w:rPr>
        <w:t>（2）讨论决定本镇经济和社会发展中的重大问题，并组织、协调、督促实施。按照干部管理权限，负责干部的教育、培养、选拔和监督工作。</w:t>
      </w:r>
    </w:p>
    <w:p>
      <w:pPr>
        <w:ind w:firstLine="640" w:firstLineChars="200"/>
        <w:jc w:val="left"/>
        <w:rPr>
          <w:rFonts w:ascii="仿宋_GB2312" w:eastAsia="仿宋_GB2312"/>
          <w:sz w:val="32"/>
          <w:szCs w:val="32"/>
        </w:rPr>
      </w:pPr>
      <w:r>
        <w:rPr>
          <w:rFonts w:hint="eastAsia" w:ascii="仿宋_GB2312" w:eastAsia="仿宋_GB2312"/>
          <w:sz w:val="32"/>
          <w:szCs w:val="32"/>
        </w:rPr>
        <w:t>（3）领导镇政府机关和群众组织，支持和保证其依照国家法律法规及各自章程充分行使职权。加强镇党委自身建设和以党总支为核心的社区居委会组织建设。</w:t>
      </w:r>
    </w:p>
    <w:p>
      <w:pPr>
        <w:ind w:firstLine="640" w:firstLineChars="200"/>
        <w:jc w:val="left"/>
        <w:rPr>
          <w:rFonts w:ascii="仿宋_GB2312" w:eastAsia="仿宋_GB2312"/>
          <w:sz w:val="32"/>
          <w:szCs w:val="32"/>
        </w:rPr>
      </w:pPr>
      <w:r>
        <w:rPr>
          <w:rFonts w:hint="eastAsia" w:ascii="仿宋_GB2312" w:eastAsia="仿宋_GB2312"/>
          <w:sz w:val="32"/>
          <w:szCs w:val="32"/>
        </w:rPr>
        <w:t>（4）领导本镇党的组织建设、党风廉政建设和反腐败工作、社会主义民主法制建设和精神文明建设，做好社会管理综合治理、民族宗教、党管武装、计划生育和目标管理绩效考评等工作。</w:t>
      </w:r>
    </w:p>
    <w:p>
      <w:pPr>
        <w:ind w:firstLine="640" w:firstLineChars="200"/>
        <w:jc w:val="left"/>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5</w:t>
      </w:r>
      <w:r>
        <w:rPr>
          <w:rFonts w:hint="eastAsia" w:ascii="仿宋_GB2312" w:eastAsia="仿宋_GB2312"/>
          <w:sz w:val="32"/>
          <w:szCs w:val="32"/>
        </w:rPr>
        <w:t>）编制和执行本镇社会经济发展规划、计划和财政预算，组织完成上级党委、政府下达的各项工作任务。</w:t>
      </w:r>
    </w:p>
    <w:p>
      <w:pPr>
        <w:ind w:firstLine="640" w:firstLineChars="200"/>
        <w:jc w:val="left"/>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6</w:t>
      </w:r>
      <w:r>
        <w:rPr>
          <w:rFonts w:hint="eastAsia" w:ascii="仿宋_GB2312" w:eastAsia="仿宋_GB2312"/>
          <w:sz w:val="32"/>
          <w:szCs w:val="32"/>
        </w:rPr>
        <w:t>）负责本行政区域内的经济和教育、科学、文化、卫生、环境保护、体育、财政、民政、公安、司法、计划生育、公益、科普、安全生产、劳动保障、信访、残联、老龄、统战、民族宗教、征兵、民兵组织建设、工青妇等各项社会事业的行政工作。</w:t>
      </w:r>
    </w:p>
    <w:p>
      <w:pPr>
        <w:ind w:firstLine="640" w:firstLineChars="200"/>
        <w:jc w:val="left"/>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7</w:t>
      </w:r>
      <w:r>
        <w:rPr>
          <w:rFonts w:hint="eastAsia" w:ascii="仿宋_GB2312" w:eastAsia="仿宋_GB2312"/>
          <w:sz w:val="32"/>
          <w:szCs w:val="32"/>
        </w:rPr>
        <w:t>）维护社会秩序，营造良好的发展环境，保障公民和各种经济组织的合法权益。指导、支持和帮助社区居民委员会工作，抓好基层政权建设。</w:t>
      </w:r>
    </w:p>
    <w:p>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木垒哈萨克自治县木垒镇人民政府2023年度，实有人数</w:t>
      </w:r>
      <w:r>
        <w:rPr>
          <w:rFonts w:hint="eastAsia" w:ascii="仿宋_GB2312" w:eastAsia="仿宋_GB2312"/>
          <w:sz w:val="32"/>
          <w:szCs w:val="32"/>
          <w:lang w:val="zh-CN"/>
        </w:rPr>
        <w:t>115</w:t>
      </w:r>
      <w:r>
        <w:rPr>
          <w:rFonts w:hint="eastAsia" w:ascii="仿宋_GB2312" w:eastAsia="仿宋_GB2312"/>
          <w:sz w:val="32"/>
          <w:szCs w:val="32"/>
        </w:rPr>
        <w:t>人，其中：在职人员</w:t>
      </w:r>
      <w:r>
        <w:rPr>
          <w:rFonts w:hint="eastAsia" w:ascii="仿宋_GB2312" w:eastAsia="仿宋_GB2312"/>
          <w:sz w:val="32"/>
          <w:szCs w:val="32"/>
          <w:lang w:val="zh-CN"/>
        </w:rPr>
        <w:t>73</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42</w:t>
      </w:r>
      <w:r>
        <w:rPr>
          <w:rFonts w:hint="eastAsia" w:ascii="仿宋_GB2312" w:eastAsia="仿宋_GB2312"/>
          <w:sz w:val="32"/>
          <w:szCs w:val="32"/>
        </w:rPr>
        <w:t>人。</w:t>
      </w:r>
    </w:p>
    <w:p>
      <w:pPr>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6</w:t>
      </w:r>
      <w:r>
        <w:rPr>
          <w:rFonts w:hint="eastAsia" w:ascii="仿宋_GB2312" w:hAnsi="黑体" w:eastAsia="仿宋_GB2312" w:cs="宋体"/>
          <w:bCs/>
          <w:kern w:val="0"/>
          <w:sz w:val="32"/>
          <w:szCs w:val="32"/>
        </w:rPr>
        <w:t>个处室，分别是：</w:t>
      </w:r>
      <w:r>
        <w:rPr>
          <w:rFonts w:hint="eastAsia" w:ascii="仿宋_GB2312" w:hAnsi="宋体" w:eastAsia="仿宋_GB2312" w:cs="宋体"/>
          <w:kern w:val="0"/>
          <w:sz w:val="32"/>
          <w:szCs w:val="32"/>
        </w:rPr>
        <w:t>党建办公室、综合协调办公室、综合执法办公室（综合行政执法队）、党群服务中心（党校）、社会事务（统计）服务中心（退役军人服务站、政务便民服务中心）、综治中心（网格化服务中心）。</w:t>
      </w:r>
    </w:p>
    <w:p>
      <w:pPr>
        <w:jc w:val="center"/>
        <w:outlineLvl w:val="0"/>
        <w:rPr>
          <w:rFonts w:hint="eastAsia"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pPr>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pPr>
        <w:ind w:firstLine="640" w:firstLineChars="200"/>
        <w:jc w:val="left"/>
        <w:rPr>
          <w:rFonts w:ascii="仿宋_GB2312" w:eastAsia="仿宋_GB2312"/>
          <w:sz w:val="32"/>
          <w:szCs w:val="32"/>
        </w:rPr>
      </w:pPr>
      <w:r>
        <w:rPr>
          <w:rFonts w:hint="eastAsia" w:ascii="仿宋_GB2312" w:eastAsia="仿宋_GB2312"/>
          <w:sz w:val="32"/>
          <w:szCs w:val="32"/>
        </w:rPr>
        <w:t>2023年度收入总计2,712.53万元，其中：本年收入合计2,712.53万元，使用非财政拨款结余0.00万元，年初结转和结余0.00万元。</w:t>
      </w:r>
    </w:p>
    <w:p>
      <w:pPr>
        <w:ind w:firstLine="640" w:firstLineChars="200"/>
        <w:jc w:val="left"/>
        <w:rPr>
          <w:rFonts w:ascii="仿宋_GB2312" w:eastAsia="仿宋_GB2312"/>
          <w:sz w:val="32"/>
          <w:szCs w:val="32"/>
        </w:rPr>
      </w:pPr>
      <w:r>
        <w:rPr>
          <w:rFonts w:hint="eastAsia" w:ascii="仿宋_GB2312" w:eastAsia="仿宋_GB2312"/>
          <w:sz w:val="32"/>
          <w:szCs w:val="32"/>
        </w:rPr>
        <w:t>2023年度支出总计2,712.53万元，其中：本年支出合计2,712.53万元，结余分配0.00万元，年末结转和结余0.00万元。</w:t>
      </w:r>
    </w:p>
    <w:p>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减少533.98万元</w:t>
      </w:r>
      <w:r>
        <w:rPr>
          <w:rFonts w:hint="eastAsia" w:ascii="仿宋_GB2312" w:eastAsia="仿宋_GB2312"/>
          <w:sz w:val="32"/>
          <w:szCs w:val="32"/>
        </w:rPr>
        <w:t>，下降16.45%，主要原因是：高龄补贴、残疾人两项补贴、低保、困难群众救助资金等较上年减少</w:t>
      </w:r>
      <w:r>
        <w:rPr>
          <w:rFonts w:hint="eastAsia" w:ascii="仿宋_GB2312" w:eastAsia="仿宋_GB2312"/>
          <w:sz w:val="32"/>
          <w:szCs w:val="32"/>
          <w:lang w:eastAsia="zh-CN"/>
        </w:rPr>
        <w:t>；</w:t>
      </w:r>
      <w:r>
        <w:rPr>
          <w:rFonts w:hint="eastAsia" w:ascii="仿宋_GB2312" w:eastAsia="仿宋_GB2312"/>
          <w:sz w:val="32"/>
          <w:szCs w:val="32"/>
        </w:rPr>
        <w:t>本年单位减少解决木垒县商贸城、新金鑫大夏消防提升改造建设项目经费。</w:t>
      </w:r>
    </w:p>
    <w:p>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pPr>
        <w:ind w:firstLine="640" w:firstLineChars="200"/>
        <w:jc w:val="left"/>
        <w:rPr>
          <w:rFonts w:ascii="仿宋_GB2312" w:eastAsia="仿宋_GB2312"/>
          <w:sz w:val="32"/>
          <w:szCs w:val="32"/>
        </w:rPr>
      </w:pPr>
      <w:r>
        <w:rPr>
          <w:rFonts w:hint="eastAsia" w:ascii="仿宋_GB2312" w:eastAsia="仿宋_GB2312"/>
          <w:sz w:val="32"/>
          <w:szCs w:val="32"/>
        </w:rPr>
        <w:t>本年收入2,712.53万元，其中：财政拨款收入</w:t>
      </w:r>
      <w:r>
        <w:rPr>
          <w:rFonts w:hint="eastAsia" w:ascii="仿宋_GB2312" w:eastAsia="仿宋_GB2312"/>
          <w:sz w:val="32"/>
          <w:szCs w:val="32"/>
          <w:lang w:val="zh-CN"/>
        </w:rPr>
        <w:t>2,712.53</w:t>
      </w:r>
      <w:r>
        <w:rPr>
          <w:rFonts w:hint="eastAsia" w:ascii="仿宋_GB2312" w:eastAsia="仿宋_GB2312"/>
          <w:sz w:val="32"/>
          <w:szCs w:val="32"/>
        </w:rPr>
        <w:t>万元，占</w:t>
      </w:r>
      <w:r>
        <w:rPr>
          <w:rFonts w:hint="eastAsia" w:ascii="仿宋_GB2312" w:eastAsia="仿宋_GB2312"/>
          <w:sz w:val="32"/>
          <w:szCs w:val="32"/>
          <w:lang w:val="zh-CN"/>
        </w:rPr>
        <w:t>100.00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pPr>
        <w:ind w:firstLine="640" w:firstLineChars="200"/>
        <w:jc w:val="left"/>
        <w:rPr>
          <w:rFonts w:ascii="仿宋_GB2312" w:eastAsia="仿宋_GB2312"/>
          <w:sz w:val="32"/>
          <w:szCs w:val="32"/>
        </w:rPr>
      </w:pPr>
      <w:r>
        <w:rPr>
          <w:rFonts w:hint="eastAsia" w:ascii="仿宋_GB2312" w:eastAsia="仿宋_GB2312"/>
          <w:sz w:val="32"/>
          <w:szCs w:val="32"/>
        </w:rPr>
        <w:t>本年支出2,712.53万元，其中：基本支出2,127.61万元，占78.44%；项目支出584.92万元，占21.56%；上缴上级支出0.00万元，占0.00%；经营支出0.00万元，占0.00%；对附属单位补助支出0.00万元，占0.00%。</w:t>
      </w:r>
    </w:p>
    <w:p>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2,712.53</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2,712.53</w:t>
      </w:r>
      <w:r>
        <w:rPr>
          <w:rFonts w:hint="eastAsia" w:ascii="仿宋_GB2312" w:eastAsia="仿宋_GB2312"/>
          <w:sz w:val="32"/>
          <w:szCs w:val="32"/>
        </w:rPr>
        <w:t>万元。财政拨款支出总计</w:t>
      </w:r>
      <w:r>
        <w:rPr>
          <w:rFonts w:hint="eastAsia" w:ascii="仿宋_GB2312" w:eastAsia="仿宋_GB2312"/>
          <w:sz w:val="32"/>
          <w:szCs w:val="32"/>
          <w:lang w:val="zh-CN"/>
        </w:rPr>
        <w:t>2,712.53</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2,712.53</w:t>
      </w:r>
      <w:r>
        <w:rPr>
          <w:rFonts w:hint="eastAsia" w:ascii="仿宋_GB2312" w:eastAsia="仿宋_GB2312"/>
          <w:sz w:val="32"/>
          <w:szCs w:val="32"/>
        </w:rPr>
        <w:t>万元。</w:t>
      </w:r>
    </w:p>
    <w:p>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减少533.98万元</w:t>
      </w:r>
      <w:r>
        <w:rPr>
          <w:rFonts w:hint="eastAsia" w:ascii="仿宋_GB2312" w:eastAsia="仿宋_GB2312"/>
          <w:sz w:val="32"/>
          <w:szCs w:val="32"/>
        </w:rPr>
        <w:t>，下降16.45%,主要原因是：高龄补贴、残疾人两项补贴、低保、困难群众救助资金等较上年减少</w:t>
      </w:r>
      <w:r>
        <w:rPr>
          <w:rFonts w:hint="eastAsia" w:ascii="仿宋_GB2312" w:eastAsia="仿宋_GB2312"/>
          <w:sz w:val="32"/>
          <w:szCs w:val="32"/>
          <w:lang w:eastAsia="zh-CN"/>
        </w:rPr>
        <w:t>；</w:t>
      </w:r>
      <w:r>
        <w:rPr>
          <w:rFonts w:hint="eastAsia" w:ascii="仿宋_GB2312" w:eastAsia="仿宋_GB2312"/>
          <w:sz w:val="32"/>
          <w:szCs w:val="32"/>
        </w:rPr>
        <w:t>本年单位减少解决木垒县商贸城、新金鑫大夏消防提升改造建设项目经费。与年初预算相比，年初预算数</w:t>
      </w:r>
      <w:r>
        <w:rPr>
          <w:rFonts w:hint="eastAsia" w:ascii="仿宋_GB2312" w:eastAsia="仿宋_GB2312"/>
          <w:sz w:val="32"/>
          <w:szCs w:val="32"/>
          <w:lang w:val="zh-CN"/>
        </w:rPr>
        <w:t>2,606.33</w:t>
      </w:r>
      <w:r>
        <w:rPr>
          <w:rFonts w:hint="eastAsia" w:ascii="仿宋_GB2312" w:eastAsia="仿宋_GB2312"/>
          <w:sz w:val="32"/>
          <w:szCs w:val="32"/>
        </w:rPr>
        <w:t>万元，决算数</w:t>
      </w:r>
      <w:r>
        <w:rPr>
          <w:rFonts w:hint="eastAsia" w:ascii="仿宋_GB2312" w:eastAsia="仿宋_GB2312"/>
          <w:sz w:val="32"/>
          <w:szCs w:val="32"/>
          <w:lang w:val="zh-CN"/>
        </w:rPr>
        <w:t>2,712.53</w:t>
      </w:r>
      <w:r>
        <w:rPr>
          <w:rFonts w:hint="eastAsia" w:ascii="仿宋_GB2312" w:eastAsia="仿宋_GB2312"/>
          <w:sz w:val="32"/>
          <w:szCs w:val="32"/>
        </w:rPr>
        <w:t>万元，预决算差异率4.07%，主要原因是：本年单位人员增加，年中追加工资、</w:t>
      </w:r>
      <w:r>
        <w:rPr>
          <w:rFonts w:hint="eastAsia" w:ascii="仿宋_GB2312" w:eastAsia="仿宋_GB2312"/>
          <w:sz w:val="32"/>
          <w:szCs w:val="32"/>
          <w:lang w:val="en-US" w:eastAsia="zh-CN"/>
        </w:rPr>
        <w:t>津贴补贴、奖金</w:t>
      </w:r>
      <w:r>
        <w:rPr>
          <w:rFonts w:hint="eastAsia" w:ascii="仿宋_GB2312" w:eastAsia="仿宋_GB2312"/>
          <w:sz w:val="32"/>
          <w:szCs w:val="32"/>
        </w:rPr>
        <w:t>等</w:t>
      </w:r>
      <w:r>
        <w:rPr>
          <w:rFonts w:hint="eastAsia" w:ascii="仿宋_GB2312" w:eastAsia="仿宋_GB2312"/>
          <w:sz w:val="32"/>
          <w:szCs w:val="32"/>
          <w:lang w:val="en-US" w:eastAsia="zh-CN"/>
        </w:rPr>
        <w:t>相关</w:t>
      </w:r>
      <w:r>
        <w:rPr>
          <w:rFonts w:hint="eastAsia" w:ascii="仿宋_GB2312" w:eastAsia="仿宋_GB2312"/>
          <w:sz w:val="32"/>
          <w:szCs w:val="32"/>
        </w:rPr>
        <w:t>人员经费。</w:t>
      </w:r>
    </w:p>
    <w:p>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2023年度一般公共预算财政拨款支出2,689.75万元，占本年支出合计的</w:t>
      </w:r>
      <w:r>
        <w:rPr>
          <w:rFonts w:hint="eastAsia" w:ascii="仿宋_GB2312" w:eastAsia="仿宋_GB2312"/>
          <w:sz w:val="32"/>
          <w:szCs w:val="32"/>
          <w:lang w:val="zh-CN"/>
        </w:rPr>
        <w:t>99.16%</w:t>
      </w:r>
      <w:r>
        <w:rPr>
          <w:rFonts w:hint="eastAsia" w:ascii="仿宋_GB2312" w:eastAsia="仿宋_GB2312"/>
          <w:sz w:val="32"/>
          <w:szCs w:val="32"/>
        </w:rPr>
        <w:t>。与上年相比，</w:t>
      </w:r>
      <w:r>
        <w:rPr>
          <w:rFonts w:hint="eastAsia" w:ascii="仿宋_GB2312" w:eastAsia="仿宋_GB2312"/>
          <w:sz w:val="32"/>
          <w:szCs w:val="32"/>
          <w:lang w:val="zh-CN"/>
        </w:rPr>
        <w:t>减少555.10万元</w:t>
      </w:r>
      <w:r>
        <w:rPr>
          <w:rFonts w:hint="eastAsia" w:ascii="仿宋_GB2312" w:eastAsia="仿宋_GB2312"/>
          <w:sz w:val="32"/>
          <w:szCs w:val="32"/>
        </w:rPr>
        <w:t>，下降17.11%,主要原因是：高龄补贴、残疾人两项补贴、低保、困难群众救助资金等较上年减少</w:t>
      </w:r>
      <w:r>
        <w:rPr>
          <w:rFonts w:hint="eastAsia" w:ascii="仿宋_GB2312" w:eastAsia="仿宋_GB2312"/>
          <w:sz w:val="32"/>
          <w:szCs w:val="32"/>
          <w:lang w:eastAsia="zh-CN"/>
        </w:rPr>
        <w:t>；</w:t>
      </w:r>
      <w:r>
        <w:rPr>
          <w:rFonts w:hint="eastAsia" w:ascii="仿宋_GB2312" w:eastAsia="仿宋_GB2312"/>
          <w:sz w:val="32"/>
          <w:szCs w:val="32"/>
        </w:rPr>
        <w:t>本年单位减少解决木垒县商贸城、新金鑫大夏消防提升改造建设项目经费。与年初预算相比，年初预算数</w:t>
      </w:r>
      <w:r>
        <w:rPr>
          <w:rFonts w:hint="eastAsia" w:ascii="仿宋_GB2312" w:eastAsia="仿宋_GB2312"/>
          <w:sz w:val="32"/>
          <w:szCs w:val="32"/>
          <w:lang w:val="zh-CN"/>
        </w:rPr>
        <w:t>2,604.67</w:t>
      </w:r>
      <w:r>
        <w:rPr>
          <w:rFonts w:hint="eastAsia" w:ascii="仿宋_GB2312" w:eastAsia="仿宋_GB2312"/>
          <w:sz w:val="32"/>
          <w:szCs w:val="32"/>
        </w:rPr>
        <w:t>万元，决算数</w:t>
      </w:r>
      <w:r>
        <w:rPr>
          <w:rFonts w:hint="eastAsia" w:ascii="仿宋_GB2312" w:eastAsia="仿宋_GB2312"/>
          <w:sz w:val="32"/>
          <w:szCs w:val="32"/>
          <w:lang w:val="zh-CN"/>
        </w:rPr>
        <w:t>2,689.75</w:t>
      </w:r>
      <w:r>
        <w:rPr>
          <w:rFonts w:hint="eastAsia" w:ascii="仿宋_GB2312" w:eastAsia="仿宋_GB2312"/>
          <w:sz w:val="32"/>
          <w:szCs w:val="32"/>
        </w:rPr>
        <w:t>万元，预决算差异率</w:t>
      </w:r>
      <w:r>
        <w:rPr>
          <w:rFonts w:hint="eastAsia" w:ascii="仿宋_GB2312" w:eastAsia="仿宋_GB2312"/>
          <w:sz w:val="32"/>
          <w:szCs w:val="32"/>
          <w:lang w:val="zh-CN"/>
        </w:rPr>
        <w:t>3.27%</w:t>
      </w:r>
      <w:r>
        <w:rPr>
          <w:rFonts w:hint="eastAsia" w:ascii="仿宋_GB2312" w:eastAsia="仿宋_GB2312"/>
          <w:sz w:val="32"/>
          <w:szCs w:val="32"/>
        </w:rPr>
        <w:t>，主要原因是：本年单位人员增加，年中追加工资、</w:t>
      </w:r>
      <w:r>
        <w:rPr>
          <w:rFonts w:hint="eastAsia" w:ascii="仿宋_GB2312" w:eastAsia="仿宋_GB2312"/>
          <w:sz w:val="32"/>
          <w:szCs w:val="32"/>
          <w:lang w:val="en-US" w:eastAsia="zh-CN"/>
        </w:rPr>
        <w:t>津贴补贴、奖金</w:t>
      </w:r>
      <w:r>
        <w:rPr>
          <w:rFonts w:hint="eastAsia" w:ascii="仿宋_GB2312" w:eastAsia="仿宋_GB2312"/>
          <w:sz w:val="32"/>
          <w:szCs w:val="32"/>
        </w:rPr>
        <w:t>等</w:t>
      </w:r>
      <w:r>
        <w:rPr>
          <w:rFonts w:hint="eastAsia" w:ascii="仿宋_GB2312" w:eastAsia="仿宋_GB2312"/>
          <w:sz w:val="32"/>
          <w:szCs w:val="32"/>
          <w:lang w:val="en-US" w:eastAsia="zh-CN"/>
        </w:rPr>
        <w:t>相关</w:t>
      </w:r>
      <w:r>
        <w:rPr>
          <w:rFonts w:hint="eastAsia" w:ascii="仿宋_GB2312" w:eastAsia="仿宋_GB2312"/>
          <w:sz w:val="32"/>
          <w:szCs w:val="32"/>
        </w:rPr>
        <w:t>人员经费。</w:t>
      </w:r>
    </w:p>
    <w:p>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hint="eastAsia" w:ascii="仿宋_GB2312" w:eastAsia="仿宋_GB2312"/>
          <w:kern w:val="2"/>
          <w:sz w:val="32"/>
          <w:szCs w:val="32"/>
          <w:lang w:val="zh-CN"/>
        </w:rPr>
        <w:t>1,370.26</w:t>
      </w:r>
      <w:r>
        <w:rPr>
          <w:rFonts w:ascii="仿宋_GB2312" w:eastAsia="仿宋_GB2312"/>
          <w:kern w:val="2"/>
          <w:sz w:val="32"/>
          <w:szCs w:val="32"/>
          <w:lang w:val="zh-CN"/>
        </w:rPr>
        <w:t>万元，占</w:t>
      </w:r>
      <w:r>
        <w:rPr>
          <w:rFonts w:hint="eastAsia" w:ascii="仿宋_GB2312" w:eastAsia="仿宋_GB2312"/>
          <w:kern w:val="2"/>
          <w:sz w:val="32"/>
          <w:szCs w:val="32"/>
          <w:lang w:val="zh-CN"/>
        </w:rPr>
        <w:t>50.94</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2.公共安全支出（类）</w:t>
      </w:r>
      <w:r>
        <w:rPr>
          <w:rFonts w:hint="eastAsia" w:ascii="仿宋_GB2312" w:eastAsia="仿宋_GB2312"/>
          <w:kern w:val="2"/>
          <w:sz w:val="32"/>
          <w:szCs w:val="32"/>
          <w:lang w:val="zh-CN"/>
        </w:rPr>
        <w:t>13.69</w:t>
      </w:r>
      <w:r>
        <w:rPr>
          <w:rFonts w:ascii="仿宋_GB2312" w:eastAsia="仿宋_GB2312"/>
          <w:kern w:val="2"/>
          <w:sz w:val="32"/>
          <w:szCs w:val="32"/>
          <w:lang w:val="zh-CN"/>
        </w:rPr>
        <w:t>万元，占</w:t>
      </w:r>
      <w:r>
        <w:rPr>
          <w:rFonts w:hint="eastAsia" w:ascii="仿宋_GB2312" w:eastAsia="仿宋_GB2312"/>
          <w:kern w:val="2"/>
          <w:sz w:val="32"/>
          <w:szCs w:val="32"/>
          <w:lang w:val="zh-CN"/>
        </w:rPr>
        <w:t>0.51</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3.文化旅游体育与传媒支出（类）</w:t>
      </w:r>
      <w:r>
        <w:rPr>
          <w:rFonts w:hint="eastAsia" w:ascii="仿宋_GB2312" w:eastAsia="仿宋_GB2312"/>
          <w:kern w:val="2"/>
          <w:sz w:val="32"/>
          <w:szCs w:val="32"/>
          <w:lang w:val="zh-CN"/>
        </w:rPr>
        <w:t>11.20</w:t>
      </w:r>
      <w:r>
        <w:rPr>
          <w:rFonts w:ascii="仿宋_GB2312" w:eastAsia="仿宋_GB2312"/>
          <w:kern w:val="2"/>
          <w:sz w:val="32"/>
          <w:szCs w:val="32"/>
          <w:lang w:val="zh-CN"/>
        </w:rPr>
        <w:t>万元，占</w:t>
      </w:r>
      <w:r>
        <w:rPr>
          <w:rFonts w:hint="eastAsia" w:ascii="仿宋_GB2312" w:eastAsia="仿宋_GB2312"/>
          <w:kern w:val="2"/>
          <w:sz w:val="32"/>
          <w:szCs w:val="32"/>
          <w:lang w:val="zh-CN"/>
        </w:rPr>
        <w:t>0.42</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4.社会保障和就业支出（类）</w:t>
      </w:r>
      <w:r>
        <w:rPr>
          <w:rFonts w:hint="eastAsia" w:ascii="仿宋_GB2312" w:eastAsia="仿宋_GB2312"/>
          <w:kern w:val="2"/>
          <w:sz w:val="32"/>
          <w:szCs w:val="32"/>
          <w:lang w:val="zh-CN"/>
        </w:rPr>
        <w:t>358.56</w:t>
      </w:r>
      <w:r>
        <w:rPr>
          <w:rFonts w:ascii="仿宋_GB2312" w:eastAsia="仿宋_GB2312"/>
          <w:kern w:val="2"/>
          <w:sz w:val="32"/>
          <w:szCs w:val="32"/>
          <w:lang w:val="zh-CN"/>
        </w:rPr>
        <w:t>万元，占</w:t>
      </w:r>
      <w:r>
        <w:rPr>
          <w:rFonts w:hint="eastAsia" w:ascii="仿宋_GB2312" w:eastAsia="仿宋_GB2312"/>
          <w:kern w:val="2"/>
          <w:sz w:val="32"/>
          <w:szCs w:val="32"/>
          <w:lang w:val="zh-CN"/>
        </w:rPr>
        <w:t>13.33</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5.卫生健康支出（类）</w:t>
      </w:r>
      <w:r>
        <w:rPr>
          <w:rFonts w:hint="eastAsia" w:ascii="仿宋_GB2312" w:eastAsia="仿宋_GB2312"/>
          <w:kern w:val="2"/>
          <w:sz w:val="32"/>
          <w:szCs w:val="32"/>
          <w:lang w:val="zh-CN"/>
        </w:rPr>
        <w:t>7.10</w:t>
      </w:r>
      <w:r>
        <w:rPr>
          <w:rFonts w:ascii="仿宋_GB2312" w:eastAsia="仿宋_GB2312"/>
          <w:kern w:val="2"/>
          <w:sz w:val="32"/>
          <w:szCs w:val="32"/>
          <w:lang w:val="zh-CN"/>
        </w:rPr>
        <w:t>万元，占</w:t>
      </w:r>
      <w:r>
        <w:rPr>
          <w:rFonts w:hint="eastAsia" w:ascii="仿宋_GB2312" w:eastAsia="仿宋_GB2312"/>
          <w:kern w:val="2"/>
          <w:sz w:val="32"/>
          <w:szCs w:val="32"/>
          <w:lang w:val="zh-CN"/>
        </w:rPr>
        <w:t>0.26</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6.农林水支出（类）</w:t>
      </w:r>
      <w:r>
        <w:rPr>
          <w:rFonts w:hint="eastAsia" w:ascii="仿宋_GB2312" w:eastAsia="仿宋_GB2312"/>
          <w:kern w:val="2"/>
          <w:sz w:val="32"/>
          <w:szCs w:val="32"/>
          <w:lang w:val="zh-CN"/>
        </w:rPr>
        <w:t>703.20</w:t>
      </w:r>
      <w:r>
        <w:rPr>
          <w:rFonts w:ascii="仿宋_GB2312" w:eastAsia="仿宋_GB2312"/>
          <w:kern w:val="2"/>
          <w:sz w:val="32"/>
          <w:szCs w:val="32"/>
          <w:lang w:val="zh-CN"/>
        </w:rPr>
        <w:t>万元，占</w:t>
      </w:r>
      <w:r>
        <w:rPr>
          <w:rFonts w:hint="eastAsia" w:ascii="仿宋_GB2312" w:eastAsia="仿宋_GB2312"/>
          <w:kern w:val="2"/>
          <w:sz w:val="32"/>
          <w:szCs w:val="32"/>
          <w:lang w:val="zh-CN"/>
        </w:rPr>
        <w:t>26.14</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7.住房保障支出（类）</w:t>
      </w:r>
      <w:r>
        <w:rPr>
          <w:rFonts w:hint="eastAsia" w:ascii="仿宋_GB2312" w:eastAsia="仿宋_GB2312"/>
          <w:kern w:val="2"/>
          <w:sz w:val="32"/>
          <w:szCs w:val="32"/>
          <w:lang w:val="zh-CN"/>
        </w:rPr>
        <w:t>84.58</w:t>
      </w:r>
      <w:r>
        <w:rPr>
          <w:rFonts w:ascii="仿宋_GB2312" w:eastAsia="仿宋_GB2312"/>
          <w:kern w:val="2"/>
          <w:sz w:val="32"/>
          <w:szCs w:val="32"/>
          <w:lang w:val="zh-CN"/>
        </w:rPr>
        <w:t>万元，占</w:t>
      </w:r>
      <w:r>
        <w:rPr>
          <w:rFonts w:hint="eastAsia" w:ascii="仿宋_GB2312" w:eastAsia="仿宋_GB2312"/>
          <w:kern w:val="2"/>
          <w:sz w:val="32"/>
          <w:szCs w:val="32"/>
          <w:lang w:val="zh-CN"/>
        </w:rPr>
        <w:t>3.14</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8.害防治及应急管理支出（类）</w:t>
      </w:r>
      <w:r>
        <w:rPr>
          <w:rFonts w:hint="eastAsia" w:ascii="仿宋_GB2312" w:eastAsia="仿宋_GB2312"/>
          <w:kern w:val="2"/>
          <w:sz w:val="32"/>
          <w:szCs w:val="32"/>
          <w:lang w:val="zh-CN"/>
        </w:rPr>
        <w:t>95.00</w:t>
      </w:r>
      <w:r>
        <w:rPr>
          <w:rFonts w:ascii="仿宋_GB2312" w:eastAsia="仿宋_GB2312"/>
          <w:kern w:val="2"/>
          <w:sz w:val="32"/>
          <w:szCs w:val="32"/>
          <w:lang w:val="zh-CN"/>
        </w:rPr>
        <w:t>万元，占</w:t>
      </w:r>
      <w:r>
        <w:rPr>
          <w:rFonts w:hint="eastAsia" w:ascii="仿宋_GB2312" w:eastAsia="仿宋_GB2312"/>
          <w:kern w:val="2"/>
          <w:sz w:val="32"/>
          <w:szCs w:val="32"/>
          <w:lang w:val="zh-CN"/>
        </w:rPr>
        <w:t>3.53</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9.其他支出（类）</w:t>
      </w:r>
      <w:r>
        <w:rPr>
          <w:rFonts w:hint="eastAsia" w:ascii="仿宋_GB2312" w:eastAsia="仿宋_GB2312"/>
          <w:kern w:val="2"/>
          <w:sz w:val="32"/>
          <w:szCs w:val="32"/>
          <w:lang w:val="zh-CN"/>
        </w:rPr>
        <w:t>46.16</w:t>
      </w:r>
      <w:r>
        <w:rPr>
          <w:rFonts w:ascii="仿宋_GB2312" w:eastAsia="仿宋_GB2312"/>
          <w:kern w:val="2"/>
          <w:sz w:val="32"/>
          <w:szCs w:val="32"/>
          <w:lang w:val="zh-CN"/>
        </w:rPr>
        <w:t>万元，占</w:t>
      </w:r>
      <w:r>
        <w:rPr>
          <w:rFonts w:hint="eastAsia" w:ascii="仿宋_GB2312" w:eastAsia="仿宋_GB2312"/>
          <w:kern w:val="2"/>
          <w:sz w:val="32"/>
          <w:szCs w:val="32"/>
          <w:lang w:val="zh-CN"/>
        </w:rPr>
        <w:t>1.72</w:t>
      </w:r>
      <w:r>
        <w:rPr>
          <w:rFonts w:ascii="仿宋_GB2312" w:eastAsia="仿宋_GB2312"/>
          <w:kern w:val="2"/>
          <w:sz w:val="32"/>
          <w:szCs w:val="32"/>
          <w:lang w:val="zh-CN"/>
        </w:rPr>
        <w:t>%</w:t>
      </w:r>
      <w:r>
        <w:rPr>
          <w:rFonts w:hint="eastAsia" w:ascii="仿宋_GB2312" w:eastAsia="仿宋_GB2312"/>
          <w:kern w:val="2"/>
          <w:sz w:val="32"/>
          <w:szCs w:val="32"/>
          <w:lang w:val="zh-CN"/>
        </w:rPr>
        <w:t>。</w:t>
      </w:r>
    </w:p>
    <w:p>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1.灾害防治及应急管理支出（类）应急管理事务（款）安全监管（项）:支出决算数为95.00万元，比上年决算减少5.00万元，下降5.00%，主要原因是：本年单位减少解决木垒县商贸城、新金鑫大夏消防提升改造建设项目经费。</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2.社会保障和就业支出（类）抚恤（款）死亡抚恤（项）:支出决算数为0.58万元，比上年决算增加0.00万元，增长0.00%，主要原因是：与上年对比无差异。</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3.社会保障和就业支出（类）行政事业单位养老支出（款）事业单位离退休（项）:支出决算数为3.20万元，比上年决算增加3.10万元，增长3,100.00%，主要原因是：本年退休人员增加，退休人员取暖费、独生子女奖励金等较上年增加。</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4.社会保障和就业支出（类）行政事业单位养老支出（款）行政单位离退休（项）:支出决算数为9.09万元，比上年决算增加</w:t>
      </w:r>
      <w:r>
        <w:rPr>
          <w:rFonts w:hint="eastAsia" w:ascii="仿宋_GB2312" w:hAnsi="仿宋_GB2312" w:eastAsia="仿宋_GB2312" w:cs="仿宋_GB2312"/>
          <w:sz w:val="32"/>
          <w:szCs w:val="32"/>
        </w:rPr>
        <w:t>4.05</w:t>
      </w:r>
      <w:r>
        <w:rPr>
          <w:rFonts w:hint="eastAsia" w:ascii="仿宋_GB2312" w:eastAsia="仿宋_GB2312"/>
          <w:sz w:val="32"/>
          <w:szCs w:val="32"/>
        </w:rPr>
        <w:t>万元，增长</w:t>
      </w:r>
      <w:r>
        <w:rPr>
          <w:rFonts w:hint="eastAsia" w:ascii="仿宋_GB2312" w:hAnsi="仿宋_GB2312" w:eastAsia="仿宋_GB2312" w:cs="仿宋_GB2312"/>
          <w:sz w:val="32"/>
          <w:szCs w:val="32"/>
        </w:rPr>
        <w:t>80.36%</w:t>
      </w:r>
      <w:r>
        <w:rPr>
          <w:rFonts w:hint="eastAsia" w:ascii="仿宋_GB2312" w:eastAsia="仿宋_GB2312"/>
          <w:sz w:val="32"/>
          <w:szCs w:val="32"/>
        </w:rPr>
        <w:t>，主要原因是：本年退休人员增加人员退休费、独生子女奖励金等。</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5.社会保障和就业支出（类）行政事业单位养老支出（款）机关事业单位职业年金缴费支出（项）:支出决算数为21.30万元，比上年决算增加</w:t>
      </w:r>
      <w:r>
        <w:rPr>
          <w:rFonts w:hint="eastAsia" w:ascii="仿宋_GB2312" w:hAnsi="仿宋_GB2312" w:eastAsia="仿宋_GB2312" w:cs="仿宋_GB2312"/>
          <w:sz w:val="32"/>
          <w:szCs w:val="32"/>
        </w:rPr>
        <w:t>10.75</w:t>
      </w:r>
      <w:r>
        <w:rPr>
          <w:rFonts w:hint="eastAsia" w:ascii="仿宋_GB2312" w:eastAsia="仿宋_GB2312"/>
          <w:sz w:val="32"/>
          <w:szCs w:val="32"/>
        </w:rPr>
        <w:t>万元，增长</w:t>
      </w:r>
      <w:r>
        <w:rPr>
          <w:rFonts w:hint="eastAsia" w:ascii="仿宋_GB2312" w:hAnsi="仿宋_GB2312" w:eastAsia="仿宋_GB2312" w:cs="仿宋_GB2312"/>
          <w:sz w:val="32"/>
          <w:szCs w:val="32"/>
        </w:rPr>
        <w:t>101.90%</w:t>
      </w:r>
      <w:r>
        <w:rPr>
          <w:rFonts w:hint="eastAsia" w:ascii="仿宋_GB2312" w:eastAsia="仿宋_GB2312"/>
          <w:sz w:val="32"/>
          <w:szCs w:val="32"/>
        </w:rPr>
        <w:t>，主要原因是：单位本年退休人员增加，职业年金缴费增加。</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6.社会保障和就业支出（类）行政事业单位养老支出（款）机关事业单位基本养老保险缴费支出（项）:支出决算数为112.39万元，比上年决算增加14.89万元，增长15.27%，主要原因是：单位人员增加，人员养老保险缴费增加。</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7.社会保障和就业支出（类）民政管理事务（款）其他民政管理事务支出（项）:支出决算数为95.98万元，比上年决算增加95.98万元，增长100%，主要原因是：本年增加福利彩票公益金资助社会福利项目及木垒镇社区养老服务站建设项目资金。</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8.社会保障和就业支出（类）社会福利（款）老年福利（项）:支出决算数为41.30万元，比上年决算减少</w:t>
      </w:r>
      <w:r>
        <w:rPr>
          <w:rFonts w:hint="eastAsia" w:ascii="仿宋_GB2312" w:hAnsi="仿宋_GB2312" w:eastAsia="仿宋_GB2312" w:cs="仿宋_GB2312"/>
          <w:sz w:val="32"/>
          <w:szCs w:val="32"/>
        </w:rPr>
        <w:t>36.31</w:t>
      </w:r>
      <w:r>
        <w:rPr>
          <w:rFonts w:hint="eastAsia" w:ascii="仿宋_GB2312" w:eastAsia="仿宋_GB2312"/>
          <w:sz w:val="32"/>
          <w:szCs w:val="32"/>
        </w:rPr>
        <w:t>万元，下降46.79%，主要原因是：本年木垒县乡镇高龄补贴资金较上年减少。</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9.一般公共服务支出（类）组织事务（款）其他组织事务支出（项）:支出决算数为3.00万元，比上年决算减少2.00万元，下降40.00%，主要原因是：本年减少村党支部“五个好”党支部范点补助经费。</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10.一般公共服务支出（类）纪检监察事务（款）其他纪检监察事务支出（项）:支出决算数为1.50万元，比上年决算增加0.50万元，增长50.00%，主要原因是：本年增加中央政法纪委监察转移支付资金。</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11.农林水支出（类）农村综合改革（款）对村民委员会和村党支部的补助（项）:支出决算数为140.00万元，比上年决算减少14.00万元，下降9.09%，主要原因是：本年减少村级运转经费和服务群众工作经费。</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12.一般公共服务支出（类）政府办公厅（室）及相关机构事务（款）行政运行（项）:支出决算数为1,333.27万元，比上年决算减少119.38万元，下降8.22%，主要原因是：单位本年绩效工资补助经费较上年减少。</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13.公共安全支出（类）其他公共安全支出（款）其他公共安全支出（项）:支出决算数为13.69万元，比上年决算增加13.69万元，增长100%，主要原因是：本年单位新增专职联防员补助经费。</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14.农林水支出（类）农业农村（款）事业运行（项）:支出决算数为563.20万元，比上年决算增加79.01万元，增长16.32%，主要原因是：本年单位人员增加，人员工资、津补贴等人员经费增加。</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15.卫生健康支出（类）公共卫生（款）突发公共卫生事件应急处理（项）:支出决算数为5.60万元，比上年决算减少</w:t>
      </w:r>
      <w:r>
        <w:rPr>
          <w:rFonts w:hint="eastAsia" w:ascii="仿宋_GB2312" w:hAnsi="仿宋_GB2312" w:eastAsia="仿宋_GB2312" w:cs="仿宋_GB2312"/>
          <w:sz w:val="32"/>
          <w:szCs w:val="32"/>
        </w:rPr>
        <w:t>21.02</w:t>
      </w:r>
      <w:r>
        <w:rPr>
          <w:rFonts w:hint="eastAsia" w:ascii="仿宋_GB2312" w:eastAsia="仿宋_GB2312"/>
          <w:sz w:val="32"/>
          <w:szCs w:val="32"/>
        </w:rPr>
        <w:t>万元，下降</w:t>
      </w:r>
      <w:r>
        <w:rPr>
          <w:rFonts w:hint="eastAsia" w:ascii="仿宋_GB2312" w:hAnsi="仿宋_GB2312" w:eastAsia="仿宋_GB2312" w:cs="仿宋_GB2312"/>
          <w:sz w:val="32"/>
          <w:szCs w:val="32"/>
        </w:rPr>
        <w:t>78.96%</w:t>
      </w:r>
      <w:r>
        <w:rPr>
          <w:rFonts w:hint="eastAsia" w:ascii="仿宋_GB2312" w:eastAsia="仿宋_GB2312"/>
          <w:sz w:val="32"/>
          <w:szCs w:val="32"/>
        </w:rPr>
        <w:t>，主要原因是：本年木垒镇人民政府防疫资金较上年减少。</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16.住房保障支出（类）住房改革支出（款）住房公积金（项）:支出决算数为84.58万元，比上年决算增加6.31万元，增长</w:t>
      </w:r>
      <w:r>
        <w:rPr>
          <w:rFonts w:hint="eastAsia" w:ascii="仿宋_GB2312" w:hAnsi="仿宋_GB2312" w:eastAsia="仿宋_GB2312" w:cs="仿宋_GB2312"/>
          <w:sz w:val="32"/>
          <w:szCs w:val="32"/>
        </w:rPr>
        <w:t>8.06%</w:t>
      </w:r>
      <w:r>
        <w:rPr>
          <w:rFonts w:hint="eastAsia" w:ascii="仿宋_GB2312" w:eastAsia="仿宋_GB2312"/>
          <w:sz w:val="32"/>
          <w:szCs w:val="32"/>
        </w:rPr>
        <w:t>，主要原因是：单位人员增加，相应人员公积金缴费增加。</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17.文化旅游体育与传媒支出（类）文化和旅游（款）其他文化和旅游支出（项）:支出决算数为4.20万元，比上年决算增加4.20万元，增长100%，主要原因是：本年单位增加中央补助地方美术馆、公共图书馆、文化馆[站]免费开放专项资金。</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18.社会保障和就业支出（类）其他社会保障和就业支出（款）其他社会保障和就业支出（项）:支出决算数为60.47万元，比上年决算减少25.53万元，下降29.69%，主要原因是：本年单位较上年减少困难群众救助资金。</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19.卫生健康支出（类）医疗保障管理事务（款）医疗保障经办事务（项）:支出决算数为1.50万元，比上年决算增加1.50万元，增长100%，主要原因是：本年各乡镇社会保险工作经费较上年增加。</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20.社会保障和就业支出（类）残疾人事业（款）残疾人生活和护理补贴（项）:支出决算数为11.44万元，比上年决算减少20.58万元，下降64.27%，主要原因是：本年木垒县乡镇残疾人两项补贴资金较上年减少。</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21.社会保障和就业支出（类）其他生活救助（款）其他城市生活救助（项）:支出决算数为2.82万元，比上年决算减少86.95万元，下降96.86%，主要原因是：木垒县镇2022年困难群众救助项目资金减少。</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22.文化旅游体育与传媒支出（类）其他文化旅游体育与传媒支出（款）其他文化旅游体育与传媒支出（项）:支出决算数为7.00万元，比上年决算减少4.50万元，下降39.13%，主要原因是：本年减少中央支持地方公共文化体系建设、新时代文明实践活动经费。</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23.一般公共服务支出（类）人大事务（款）其他人大事务支出（项）:支出决算数为28.99万元，比上年决算增加5.99万元，增长26.04%，主要原因是：本年增加乡镇人大代表之家活动经费及微实事项目经费。</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24.其他支出（类）其他支出（款）其他支出（项）:支出决算数为46.16万元，比上年决算增加46.16万元，增长100%，主要原因是：本年增加木垒镇明珠社区办公楼及零散栋楼安装视频监控电路劳务费及材料费。</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25.一般公共服务支出（类）政府办公厅（室）及相关机构事务（款）其他政府办公厅（室）及相关机构事务支出（项）:支出决算数为3.50万元，比上年决算增加3.50万元，增长100%，主要原因是：本年增加解决新建西路再就业市场二楼小平房维修资金。</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26.一般公共服务支出（类）人大事务（款）人大会议（项）:支出决算数为0.00万元，比上年决算减少2.00万元，下降100%，主要原因是：</w:t>
      </w:r>
      <w:r>
        <w:rPr>
          <w:rFonts w:hint="eastAsia" w:ascii="仿宋_GB2312" w:eastAsia="仿宋_GB2312"/>
          <w:sz w:val="32"/>
          <w:szCs w:val="32"/>
          <w:lang w:val="zh-CN"/>
        </w:rPr>
        <w:t>本年减少乡镇人大换届</w:t>
      </w:r>
      <w:r>
        <w:rPr>
          <w:rFonts w:hint="eastAsia" w:ascii="仿宋_GB2312" w:eastAsia="仿宋_GB2312"/>
          <w:sz w:val="32"/>
          <w:szCs w:val="32"/>
          <w:lang w:val="en-US" w:eastAsia="zh-CN"/>
        </w:rPr>
        <w:t>项目</w:t>
      </w:r>
      <w:r>
        <w:rPr>
          <w:rFonts w:hint="eastAsia" w:ascii="仿宋_GB2312" w:eastAsia="仿宋_GB2312"/>
          <w:sz w:val="32"/>
          <w:szCs w:val="32"/>
          <w:lang w:val="zh-CN"/>
        </w:rPr>
        <w:t>经费</w:t>
      </w:r>
      <w:r>
        <w:rPr>
          <w:rFonts w:hint="eastAsia" w:ascii="仿宋_GB2312" w:eastAsia="仿宋_GB2312"/>
          <w:sz w:val="32"/>
          <w:szCs w:val="32"/>
        </w:rPr>
        <w:t>。</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27.一般公共服务支出（类）党委办公厅（室）及相关机构事务（款）其他党委办公厅（室）及相关机构事务支出（项）:支出决算数为0.00万元，比上年决算减少49.03万元，下降100%，主要原因是：</w:t>
      </w:r>
      <w:r>
        <w:rPr>
          <w:rFonts w:hint="eastAsia" w:ascii="仿宋_GB2312" w:eastAsia="仿宋_GB2312"/>
          <w:sz w:val="32"/>
          <w:szCs w:val="32"/>
          <w:lang w:val="zh-CN"/>
        </w:rPr>
        <w:t>本年减少木垒镇22个小区门口暖心通道及附属设施款</w:t>
      </w:r>
      <w:r>
        <w:rPr>
          <w:rFonts w:hint="eastAsia" w:ascii="仿宋_GB2312" w:eastAsia="仿宋_GB2312"/>
          <w:sz w:val="32"/>
          <w:szCs w:val="32"/>
        </w:rPr>
        <w:t>。</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28.社会保障和就业支出（类）就业补助（款）公益性岗位补贴（项）:支出决算数为0.00万元，比上年决算减少1.80万元，下降100%，主要原因是：</w:t>
      </w:r>
      <w:r>
        <w:rPr>
          <w:rFonts w:hint="eastAsia" w:ascii="仿宋_GB2312" w:eastAsia="仿宋_GB2312"/>
          <w:sz w:val="32"/>
          <w:szCs w:val="32"/>
          <w:lang w:val="zh-CN"/>
        </w:rPr>
        <w:t>本年减少公益岗生活补助</w:t>
      </w:r>
      <w:r>
        <w:rPr>
          <w:rFonts w:hint="eastAsia" w:ascii="仿宋_GB2312" w:eastAsia="仿宋_GB2312"/>
          <w:sz w:val="32"/>
          <w:szCs w:val="32"/>
          <w:lang w:val="en-US" w:eastAsia="zh-CN"/>
        </w:rPr>
        <w:t>项目经费</w:t>
      </w:r>
      <w:r>
        <w:rPr>
          <w:rFonts w:hint="eastAsia" w:ascii="仿宋_GB2312" w:eastAsia="仿宋_GB2312"/>
          <w:sz w:val="32"/>
          <w:szCs w:val="32"/>
        </w:rPr>
        <w:t>。</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29.社会保障和就业支出（类）临时救助（款）临时救助支出（项）:支出决算数为0.00万元，比上年决算减少22.87万元，下降100%，主要原因是：</w:t>
      </w:r>
      <w:r>
        <w:rPr>
          <w:rFonts w:hint="eastAsia" w:ascii="仿宋_GB2312" w:eastAsia="仿宋_GB2312"/>
          <w:sz w:val="32"/>
          <w:szCs w:val="32"/>
          <w:lang w:val="zh-CN"/>
        </w:rPr>
        <w:t>本年减少对生活困难人员临时救助金</w:t>
      </w:r>
      <w:r>
        <w:rPr>
          <w:rFonts w:hint="eastAsia" w:ascii="仿宋_GB2312" w:eastAsia="仿宋_GB2312"/>
          <w:sz w:val="32"/>
          <w:szCs w:val="32"/>
        </w:rPr>
        <w:t>。</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30.城乡社区支出（类）城乡社区公共设施（款）其他城乡社区公共设施支出（项）:支出决算数为0.00万元，比上年决算减少301.74万元，下降100%，主要原因是：</w:t>
      </w:r>
      <w:r>
        <w:rPr>
          <w:rFonts w:hint="eastAsia" w:ascii="仿宋_GB2312" w:eastAsia="仿宋_GB2312"/>
          <w:sz w:val="32"/>
          <w:szCs w:val="32"/>
          <w:lang w:val="zh-CN"/>
        </w:rPr>
        <w:t>本年减少木垒县木垒镇乡镇干部周转宿舍建设项目</w:t>
      </w:r>
      <w:r>
        <w:rPr>
          <w:rFonts w:hint="eastAsia" w:ascii="仿宋_GB2312" w:eastAsia="仿宋_GB2312"/>
          <w:sz w:val="32"/>
          <w:szCs w:val="32"/>
        </w:rPr>
        <w:t>。</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31.农林水支出（类）其他农林水支出（款）其他农林水支出（项）:支出决算数为0.00万元，比上年决算减少132.00万元，下降100%，主要原因是：</w:t>
      </w:r>
      <w:r>
        <w:rPr>
          <w:rFonts w:hint="eastAsia" w:ascii="仿宋_GB2312" w:eastAsia="仿宋_GB2312"/>
          <w:sz w:val="32"/>
          <w:szCs w:val="32"/>
          <w:lang w:val="zh-CN"/>
        </w:rPr>
        <w:t>本年减少乡镇干部周转宿舍建设项目</w:t>
      </w:r>
      <w:r>
        <w:rPr>
          <w:rFonts w:hint="eastAsia" w:ascii="仿宋_GB2312" w:eastAsia="仿宋_GB2312"/>
          <w:sz w:val="32"/>
          <w:szCs w:val="32"/>
        </w:rPr>
        <w:t>。</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2,127.61万元，其中：人员经费2,065.06万元，包括：基本工资、津贴补贴、奖金、机关事业单位基本养老保险缴费、职业年金缴费、职工基本医疗保险缴费、公务员医疗补助缴费、其他社会保障缴费、住房公积金、其他工资福利支出、退休费、生活补助、奖励金、其他对个人和家庭的补助。</w:t>
      </w:r>
    </w:p>
    <w:p>
      <w:pPr>
        <w:ind w:firstLine="640" w:firstLineChars="200"/>
        <w:jc w:val="left"/>
        <w:rPr>
          <w:rFonts w:ascii="仿宋_GB2312" w:eastAsia="仿宋_GB2312"/>
          <w:sz w:val="32"/>
          <w:szCs w:val="32"/>
          <w:highlight w:val="red"/>
        </w:rPr>
      </w:pPr>
      <w:r>
        <w:rPr>
          <w:rFonts w:hint="eastAsia" w:ascii="仿宋_GB2312" w:eastAsia="仿宋_GB2312"/>
          <w:sz w:val="32"/>
          <w:szCs w:val="32"/>
        </w:rPr>
        <w:t>公用经费62.56万元，包括：办公费、水费、电费、邮电费、取暖费、会议费、公务用车运行维护费、其他商品和服务支出。</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“三公”经费支出3.26万元，</w:t>
      </w:r>
      <w:r>
        <w:rPr>
          <w:rFonts w:hint="eastAsia" w:ascii="仿宋_GB2312" w:eastAsia="仿宋_GB2312"/>
          <w:sz w:val="32"/>
          <w:szCs w:val="32"/>
        </w:rPr>
        <w:t>比上年</w:t>
      </w:r>
      <w:r>
        <w:rPr>
          <w:rFonts w:hint="eastAsia" w:ascii="仿宋_GB2312" w:eastAsia="仿宋_GB2312"/>
          <w:sz w:val="32"/>
          <w:szCs w:val="32"/>
          <w:lang w:val="zh-CN"/>
        </w:rPr>
        <w:t>增加1.79万元，</w:t>
      </w:r>
      <w:r>
        <w:rPr>
          <w:rFonts w:hint="eastAsia" w:ascii="仿宋_GB2312" w:eastAsia="仿宋_GB2312"/>
          <w:sz w:val="32"/>
          <w:szCs w:val="32"/>
        </w:rPr>
        <w:t>增长121.77%,</w:t>
      </w:r>
      <w:r>
        <w:rPr>
          <w:rFonts w:hint="eastAsia" w:ascii="仿宋_GB2312" w:eastAsia="仿宋_GB2312"/>
          <w:sz w:val="32"/>
          <w:szCs w:val="32"/>
          <w:lang w:val="zh-CN"/>
        </w:rPr>
        <w:t>主要原因是：车辆老化，车辆维修费、燃油费等较上年增加。其中：因公出国（境）费支出0.00万元，占0.00%，比上年增加0.00万元，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主要原因是：本年无此项经费；公务用车购置及运行维护费支出3.26万元，占100.00%，比上年增加1.79万元，</w:t>
      </w:r>
      <w:r>
        <w:rPr>
          <w:rFonts w:hint="eastAsia" w:ascii="仿宋_GB2312" w:eastAsia="仿宋_GB2312"/>
          <w:sz w:val="32"/>
          <w:szCs w:val="32"/>
        </w:rPr>
        <w:t>增长121.77%,</w:t>
      </w:r>
      <w:r>
        <w:rPr>
          <w:rFonts w:hint="eastAsia" w:ascii="仿宋_GB2312" w:eastAsia="仿宋_GB2312"/>
          <w:sz w:val="32"/>
          <w:szCs w:val="32"/>
          <w:lang w:val="zh-CN"/>
        </w:rPr>
        <w:t>主要原因是：车辆老化，车辆维修费、燃油费等较上年增加；公务接待费支出0.00万元，占0.00%，比上年增加0.00万元，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主要原因是：本年无此项经费。</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因公出国（境）费支出0.00万元，开支内容包括本年无此项经费。单位全年安排的因公出国（境）团组0个，因公出国（境）0人次。</w:t>
      </w:r>
    </w:p>
    <w:p>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公务用车购置及运行维护费3.26万元，其中：公务用车购置费0.00万元，公务用车运行维护费3.26万元。公务用车运行维护费开支内容包括</w:t>
      </w:r>
      <w:r>
        <w:rPr>
          <w:rFonts w:hint="eastAsia" w:ascii="仿宋_GB2312" w:eastAsia="仿宋_GB2312" w:cs="仿宋_GB2312"/>
          <w:kern w:val="0"/>
          <w:sz w:val="32"/>
          <w:szCs w:val="32"/>
        </w:rPr>
        <w:t>公务用车燃油费、车辆维修维护费、保险费、过路费等</w:t>
      </w:r>
      <w:r>
        <w:rPr>
          <w:rFonts w:hint="eastAsia" w:ascii="仿宋_GB2312" w:eastAsia="仿宋_GB2312"/>
          <w:sz w:val="32"/>
          <w:szCs w:val="32"/>
          <w:lang w:val="zh-CN"/>
        </w:rPr>
        <w:t>。公务用车购置数0辆，公务用车保有量15辆。国有资产占用情况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15辆，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原因是：国有资产车辆与公务用车保有量无差异。</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公务接待费0.00万元，开支内容包括本年无此项经费。单位全年安排的国内公务接待0批次，0人次。</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预算数3.26万元，决算数3.26万元，预决算差异率0.00%，主要原因是：严格按预算执行，预决算对比无差异。其中：因公出国（境）费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0.00万元，决算数0.00万元，预决算差异率0.00%，主要原因是：本年无此项经费；公务用车购置费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预算数3.26万元，决算数3.26万元，预决算差异率0.00%，主要原因是：严格按预算执行，预决算对比无差异；公务接待费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预算数0.00万元，决算数0.00万元，预决算差异率0.00%，主要原因是：本年无此项经费。</w:t>
      </w:r>
    </w:p>
    <w:p>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pPr>
        <w:ind w:firstLine="640" w:firstLineChars="200"/>
        <w:jc w:val="left"/>
        <w:rPr>
          <w:rFonts w:ascii="仿宋_GB2312" w:eastAsia="仿宋_GB2312"/>
          <w:sz w:val="32"/>
          <w:szCs w:val="32"/>
        </w:rPr>
      </w:pPr>
      <w:r>
        <w:rPr>
          <w:rFonts w:hint="eastAsia" w:ascii="仿宋_GB2312" w:eastAsia="仿宋_GB2312"/>
          <w:sz w:val="32"/>
          <w:szCs w:val="32"/>
        </w:rPr>
        <w:t>2023年度政府性基金预算财政拨款收入总计20.00万元，其中：年初结转和结余0.00万元，本年收入20.00万元。政府性基金预算财政拨款支出总计20.00万元，其中：年末结转和结余0.00万元，本年支出20.00万元。</w:t>
      </w:r>
    </w:p>
    <w:p>
      <w:pPr>
        <w:ind w:firstLine="640" w:firstLineChars="200"/>
        <w:jc w:val="left"/>
        <w:rPr>
          <w:rFonts w:ascii="仿宋_GB2312" w:eastAsia="仿宋_GB2312"/>
          <w:sz w:val="32"/>
          <w:szCs w:val="32"/>
        </w:rPr>
      </w:pPr>
      <w:r>
        <w:rPr>
          <w:rFonts w:hint="eastAsia" w:ascii="仿宋_GB2312" w:eastAsia="仿宋_GB2312"/>
          <w:sz w:val="32"/>
          <w:szCs w:val="32"/>
        </w:rPr>
        <w:t>政府性基金预算财政拨款收入支出与上年相比，增加20.00万元,增长100.00%,主要原因是：本年单位乡镇信访专项资金较上年增加。与年初预算相比,年初预算数0.00万元，决算数20.00万元，预决算差异率1</w:t>
      </w:r>
      <w:r>
        <w:rPr>
          <w:rFonts w:ascii="仿宋_GB2312" w:eastAsia="仿宋_GB2312"/>
          <w:sz w:val="32"/>
          <w:szCs w:val="32"/>
        </w:rPr>
        <w:t>0</w:t>
      </w:r>
      <w:r>
        <w:rPr>
          <w:rFonts w:hint="eastAsia" w:ascii="仿宋_GB2312" w:eastAsia="仿宋_GB2312"/>
          <w:sz w:val="32"/>
          <w:szCs w:val="32"/>
        </w:rPr>
        <w:t>0.00%，主要原因是：年初未做政府性基金预算财政拨款预算，年中追加乡镇信访专项资金。</w:t>
      </w:r>
    </w:p>
    <w:p>
      <w:pPr>
        <w:ind w:firstLine="640" w:firstLineChars="200"/>
        <w:jc w:val="left"/>
        <w:rPr>
          <w:rFonts w:ascii="仿宋_GB2312" w:eastAsia="仿宋_GB2312"/>
          <w:sz w:val="32"/>
          <w:szCs w:val="32"/>
        </w:rPr>
      </w:pPr>
      <w:r>
        <w:rPr>
          <w:rFonts w:hint="eastAsia" w:ascii="仿宋_GB2312" w:eastAsia="仿宋_GB2312"/>
          <w:sz w:val="32"/>
          <w:szCs w:val="32"/>
        </w:rPr>
        <w:t>政府性基金预算财政拨款支出20.00万元。</w:t>
      </w:r>
    </w:p>
    <w:p>
      <w:pPr>
        <w:ind w:firstLine="640" w:firstLineChars="200"/>
        <w:jc w:val="left"/>
        <w:rPr>
          <w:rFonts w:ascii="仿宋_GB2312" w:eastAsia="仿宋_GB2312"/>
          <w:sz w:val="32"/>
          <w:szCs w:val="32"/>
        </w:rPr>
      </w:pPr>
      <w:r>
        <w:rPr>
          <w:rFonts w:hint="eastAsia" w:ascii="仿宋_GB2312" w:eastAsia="仿宋_GB2312"/>
          <w:sz w:val="32"/>
          <w:szCs w:val="32"/>
        </w:rPr>
        <w:t>1.城乡社区支出（类）国有土地使用权出让收入安排的支出（款）农村基础设施建设支出（项）:支出决算数为20.00万元，比上年决算增加20.00万元，增长100%，主要原因是：本年单位乡镇信访专项资金较上年增加。</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2023年度国有资本经营预算财政拨款收入总计2.78万元，其中：年初结转和结余0.00万元，本年收入2.78万元。国有资本经营预算财政拨款支出总计2.78万元，其中：年末结转和结余0.00万元，本年支出2.78万元。</w:t>
      </w:r>
    </w:p>
    <w:p>
      <w:pPr>
        <w:ind w:firstLine="640" w:firstLineChars="200"/>
        <w:jc w:val="left"/>
        <w:rPr>
          <w:rFonts w:ascii="仿宋_GB2312" w:eastAsia="仿宋_GB2312"/>
          <w:sz w:val="32"/>
          <w:szCs w:val="32"/>
        </w:rPr>
      </w:pPr>
      <w:r>
        <w:rPr>
          <w:rFonts w:hint="eastAsia" w:ascii="仿宋_GB2312" w:eastAsia="仿宋_GB2312"/>
          <w:sz w:val="32"/>
          <w:szCs w:val="32"/>
        </w:rPr>
        <w:t>国有资本经营预算财政拨款收入支出与上年相比，增加1.12万元,增长67.47%,主要原因是：本年单位增加国企退休人员补助资金。与年初预算相比，年初预算数1.66万元，决算数2.78万元，预决算差异率67.47%，主要原因是：年中追加国有企业退休人员社会化管理补助资金。</w:t>
      </w:r>
    </w:p>
    <w:p>
      <w:pPr>
        <w:ind w:firstLine="640" w:firstLineChars="200"/>
        <w:jc w:val="left"/>
        <w:rPr>
          <w:rFonts w:ascii="仿宋_GB2312" w:eastAsia="仿宋_GB2312"/>
          <w:sz w:val="32"/>
          <w:szCs w:val="32"/>
        </w:rPr>
      </w:pPr>
      <w:r>
        <w:rPr>
          <w:rFonts w:hint="eastAsia" w:ascii="仿宋_GB2312" w:eastAsia="仿宋_GB2312"/>
          <w:sz w:val="32"/>
          <w:szCs w:val="32"/>
        </w:rPr>
        <w:t>国有资本经营预算财政拨款支出2.78万元。</w:t>
      </w:r>
    </w:p>
    <w:p>
      <w:pPr>
        <w:ind w:firstLine="640" w:firstLineChars="200"/>
        <w:jc w:val="left"/>
        <w:rPr>
          <w:rFonts w:ascii="仿宋_GB2312" w:eastAsia="仿宋_GB2312"/>
          <w:sz w:val="32"/>
          <w:szCs w:val="32"/>
        </w:rPr>
      </w:pPr>
      <w:r>
        <w:rPr>
          <w:rFonts w:hint="eastAsia" w:ascii="仿宋_GB2312" w:eastAsia="仿宋_GB2312"/>
          <w:sz w:val="32"/>
          <w:szCs w:val="32"/>
        </w:rPr>
        <w:t>1.国有资本经营预算支出（类）解决历史遗留问题及改革成本支出（款）国有企业退休人员社会化管理补助支出（项）:支出决算数为2.78万元，比上年决算增加</w:t>
      </w:r>
      <w:r>
        <w:rPr>
          <w:rFonts w:hint="eastAsia" w:ascii="仿宋_GB2312" w:hAnsi="仿宋_GB2312" w:eastAsia="仿宋_GB2312" w:cs="仿宋_GB2312"/>
          <w:kern w:val="0"/>
          <w:sz w:val="32"/>
          <w:szCs w:val="32"/>
        </w:rPr>
        <w:t>1.12</w:t>
      </w:r>
      <w:r>
        <w:rPr>
          <w:rFonts w:hint="eastAsia" w:ascii="仿宋_GB2312" w:eastAsia="仿宋_GB2312"/>
          <w:sz w:val="32"/>
          <w:szCs w:val="32"/>
        </w:rPr>
        <w:t>万元，增长</w:t>
      </w:r>
      <w:r>
        <w:rPr>
          <w:rFonts w:hint="eastAsia" w:ascii="仿宋_GB2312" w:hAnsi="仿宋_GB2312" w:eastAsia="仿宋_GB2312" w:cs="仿宋_GB2312"/>
          <w:kern w:val="0"/>
          <w:sz w:val="32"/>
          <w:szCs w:val="32"/>
        </w:rPr>
        <w:t>67.47%</w:t>
      </w:r>
      <w:r>
        <w:rPr>
          <w:rFonts w:hint="eastAsia" w:ascii="仿宋_GB2312" w:eastAsia="仿宋_GB2312"/>
          <w:sz w:val="32"/>
          <w:szCs w:val="32"/>
        </w:rPr>
        <w:t>，主要原因是：本年单位增加国企退休人员补助资金。</w:t>
      </w:r>
    </w:p>
    <w:p>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pPr>
        <w:ind w:firstLine="640" w:firstLineChars="200"/>
        <w:jc w:val="left"/>
        <w:outlineLvl w:val="2"/>
        <w:rPr>
          <w:rFonts w:hint="eastAsia"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pPr>
        <w:ind w:firstLine="640" w:firstLineChars="200"/>
        <w:jc w:val="left"/>
        <w:rPr>
          <w:rFonts w:ascii="仿宋_GB2312" w:eastAsia="仿宋_GB2312"/>
          <w:sz w:val="32"/>
          <w:szCs w:val="32"/>
        </w:rPr>
      </w:pPr>
      <w:bookmarkStart w:id="24" w:name="_Toc26704"/>
      <w:bookmarkStart w:id="25" w:name="_Toc227"/>
      <w:r>
        <w:rPr>
          <w:rFonts w:hint="eastAsia" w:ascii="仿宋_GB2312" w:eastAsia="仿宋_GB2312"/>
          <w:sz w:val="32"/>
          <w:szCs w:val="32"/>
        </w:rPr>
        <w:t>2023年度木垒哈萨克自治县木垒镇人民政府（行政单位和参照公务员法管理事业单位）机关运行经费支出62.56万元，比上年减少48.41万元，下降43.62%，主要原因是：本年单位办公费、取暖费、邮电费等较上年减少。</w:t>
      </w:r>
    </w:p>
    <w:p>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2023年度政府采购支出总额137.08万元，其中：政府采购货物支出56.16万元、政府采购工程支出40.96万元、政府采购服务支出39.96万元。</w:t>
      </w:r>
    </w:p>
    <w:p>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授予中小企业合同金额137.08万元，占政府采购支出总额的100.00</w:t>
      </w:r>
      <w:r>
        <w:rPr>
          <w:rFonts w:ascii="仿宋_GB2312" w:eastAsia="仿宋_GB2312"/>
          <w:sz w:val="32"/>
          <w:szCs w:val="32"/>
        </w:rPr>
        <w:t>%</w:t>
      </w:r>
      <w:r>
        <w:rPr>
          <w:rFonts w:hint="eastAsia" w:ascii="仿宋_GB2312" w:eastAsia="仿宋_GB2312"/>
          <w:sz w:val="32"/>
          <w:szCs w:val="32"/>
        </w:rPr>
        <w:t>，其中：授予小微企业合同金额132.08万元，占政府采购支出总额的96.35</w:t>
      </w:r>
      <w:r>
        <w:rPr>
          <w:rFonts w:ascii="仿宋_GB2312" w:eastAsia="仿宋_GB2312"/>
          <w:sz w:val="32"/>
          <w:szCs w:val="32"/>
        </w:rPr>
        <w:t>%</w:t>
      </w:r>
      <w:r>
        <w:rPr>
          <w:rFonts w:hint="eastAsia" w:ascii="仿宋_GB2312" w:eastAsia="仿宋_GB2312"/>
          <w:sz w:val="32"/>
          <w:szCs w:val="32"/>
        </w:rPr>
        <w:t>。</w:t>
      </w:r>
    </w:p>
    <w:p>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截至2023年12月31日，固定资产原值5,066.06万元，房屋15</w:t>
      </w:r>
      <w:r>
        <w:rPr>
          <w:rFonts w:ascii="仿宋_GB2312" w:eastAsia="仿宋_GB2312"/>
          <w:sz w:val="32"/>
          <w:szCs w:val="32"/>
        </w:rPr>
        <w:t>,</w:t>
      </w:r>
      <w:r>
        <w:rPr>
          <w:rFonts w:hint="eastAsia" w:ascii="仿宋_GB2312" w:eastAsia="仿宋_GB2312"/>
          <w:sz w:val="32"/>
          <w:szCs w:val="32"/>
        </w:rPr>
        <w:t>777.86平方米，价值4,003.63万元。车辆15辆，价值128.12万元，其中：副部（省）级及以上领导用车0辆、主要负责人用车0辆、机要通信用车0辆、应急保障用车13辆、执法执勤用车0辆、特种专业技术用车0辆、离退休干部服务用车0辆、其他用车2辆，其他用车主要是：单位业务用车；单价100万元（含）以上设备（不含车辆）0台（套）。</w:t>
      </w:r>
    </w:p>
    <w:p>
      <w:pPr>
        <w:ind w:firstLine="640" w:firstLineChars="200"/>
        <w:jc w:val="left"/>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2,712.53</w:t>
      </w:r>
      <w:r>
        <w:rPr>
          <w:rFonts w:hint="eastAsia" w:ascii="仿宋_GB2312" w:eastAsia="仿宋_GB2312"/>
          <w:sz w:val="32"/>
          <w:szCs w:val="32"/>
        </w:rPr>
        <w:t>万元，实际执行总额</w:t>
      </w:r>
      <w:r>
        <w:rPr>
          <w:rFonts w:ascii="仿宋_GB2312" w:eastAsia="仿宋_GB2312"/>
          <w:sz w:val="32"/>
          <w:szCs w:val="32"/>
        </w:rPr>
        <w:t>2,712.53</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预算绩效评价项目2</w:t>
      </w:r>
      <w:r>
        <w:rPr>
          <w:rFonts w:ascii="仿宋_GB2312" w:eastAsia="仿宋_GB2312"/>
          <w:sz w:val="32"/>
          <w:szCs w:val="32"/>
        </w:rPr>
        <w:t>3</w:t>
      </w:r>
      <w:r>
        <w:rPr>
          <w:rFonts w:hint="eastAsia" w:ascii="仿宋_GB2312" w:eastAsia="仿宋_GB2312"/>
          <w:sz w:val="32"/>
          <w:szCs w:val="32"/>
        </w:rPr>
        <w:t>个，全年预算数</w:t>
      </w:r>
      <w:r>
        <w:rPr>
          <w:rFonts w:ascii="仿宋_GB2312" w:eastAsia="仿宋_GB2312"/>
          <w:sz w:val="32"/>
          <w:szCs w:val="32"/>
        </w:rPr>
        <w:t>506.73</w:t>
      </w:r>
      <w:r>
        <w:rPr>
          <w:rFonts w:hint="eastAsia" w:ascii="仿宋_GB2312" w:eastAsia="仿宋_GB2312"/>
          <w:sz w:val="32"/>
          <w:szCs w:val="32"/>
        </w:rPr>
        <w:t>万元，全年执行数</w:t>
      </w:r>
      <w:r>
        <w:rPr>
          <w:rFonts w:ascii="仿宋_GB2312" w:eastAsia="仿宋_GB2312"/>
          <w:sz w:val="32"/>
          <w:szCs w:val="32"/>
        </w:rPr>
        <w:t>505.07</w:t>
      </w:r>
      <w:r>
        <w:rPr>
          <w:rFonts w:hint="eastAsia" w:ascii="仿宋_GB2312" w:eastAsia="仿宋_GB2312"/>
          <w:sz w:val="32"/>
          <w:szCs w:val="32"/>
        </w:rPr>
        <w:t>万元。预算绩效管理取得的成效：一是实现了预算编制、执行、监督过程的绩效管理，这包括事前绩效评估等环节，确保了预算资金的有效使用和管理；二是通过强化绩效监控和评价，提高了财政资源配置效率和使用效益。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具体项目自评情况附绩效自评表及自评报告。</w:t>
      </w: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2"/>
        <w:gridCol w:w="833"/>
        <w:gridCol w:w="1450"/>
        <w:gridCol w:w="1335"/>
        <w:gridCol w:w="1560"/>
        <w:gridCol w:w="707"/>
        <w:gridCol w:w="709"/>
        <w:gridCol w:w="4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2" w:hRule="atLeast"/>
        </w:trPr>
        <w:tc>
          <w:tcPr>
            <w:tcW w:w="8522" w:type="dxa"/>
            <w:gridSpan w:val="8"/>
            <w:shd w:val="clear" w:color="auto" w:fill="auto"/>
            <w:noWrap/>
            <w:vAlign w:val="center"/>
          </w:tcPr>
          <w:p>
            <w:pPr>
              <w:widowControl/>
              <w:jc w:val="center"/>
              <w:rPr>
                <w:rFonts w:hint="eastAsia" w:asciiTheme="minorEastAsia" w:hAnsiTheme="minorEastAsia" w:eastAsiaTheme="minorEastAsia"/>
                <w:sz w:val="20"/>
                <w:szCs w:val="20"/>
              </w:rPr>
            </w:pPr>
            <w:r>
              <w:rPr>
                <w:rFonts w:hint="eastAsia" w:ascii="宋体" w:hAnsi="宋体" w:cs="宋体"/>
                <w:b/>
                <w:bCs/>
                <w:color w:val="000000"/>
                <w:kern w:val="0"/>
                <w:sz w:val="32"/>
                <w:szCs w:val="32"/>
              </w:rPr>
              <w:t>部门（单位）整体支出绩效目标自评表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trPr>
        <w:tc>
          <w:tcPr>
            <w:tcW w:w="8522" w:type="dxa"/>
            <w:gridSpan w:val="8"/>
            <w:shd w:val="clear" w:color="auto" w:fill="auto"/>
            <w:noWrap/>
            <w:vAlign w:val="center"/>
          </w:tcPr>
          <w:p>
            <w:pPr>
              <w:jc w:val="cente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0" w:hRule="atLeast"/>
        </w:trPr>
        <w:tc>
          <w:tcPr>
            <w:tcW w:w="1452" w:type="dxa"/>
            <w:shd w:val="clear" w:color="auto" w:fill="auto"/>
            <w:noWrap/>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部门（单位）名称</w:t>
            </w:r>
          </w:p>
        </w:tc>
        <w:tc>
          <w:tcPr>
            <w:tcW w:w="7070" w:type="dxa"/>
            <w:gridSpan w:val="7"/>
            <w:shd w:val="clear" w:color="auto" w:fill="auto"/>
            <w:noWrap/>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木垒县木垒镇政府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452" w:type="dxa"/>
            <w:vMerge w:val="restart"/>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部门资金（万元）</w:t>
            </w:r>
          </w:p>
        </w:tc>
        <w:tc>
          <w:tcPr>
            <w:tcW w:w="833"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资金来源</w:t>
            </w:r>
          </w:p>
        </w:tc>
        <w:tc>
          <w:tcPr>
            <w:tcW w:w="1450"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年初预算数</w:t>
            </w:r>
          </w:p>
        </w:tc>
        <w:tc>
          <w:tcPr>
            <w:tcW w:w="1335"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全年预算数</w:t>
            </w:r>
          </w:p>
        </w:tc>
        <w:tc>
          <w:tcPr>
            <w:tcW w:w="1560"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全年执行数</w:t>
            </w:r>
          </w:p>
        </w:tc>
        <w:tc>
          <w:tcPr>
            <w:tcW w:w="707"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分值权重</w:t>
            </w:r>
          </w:p>
        </w:tc>
        <w:tc>
          <w:tcPr>
            <w:tcW w:w="709"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执行率</w:t>
            </w:r>
          </w:p>
        </w:tc>
        <w:tc>
          <w:tcPr>
            <w:tcW w:w="476"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trPr>
        <w:tc>
          <w:tcPr>
            <w:tcW w:w="1452" w:type="dxa"/>
            <w:vMerge w:val="continue"/>
            <w:vAlign w:val="center"/>
          </w:tcPr>
          <w:p>
            <w:pPr>
              <w:rPr>
                <w:rFonts w:hint="eastAsia" w:asciiTheme="minorEastAsia" w:hAnsiTheme="minorEastAsia" w:eastAsiaTheme="minorEastAsia"/>
                <w:sz w:val="20"/>
                <w:szCs w:val="20"/>
              </w:rPr>
            </w:pPr>
          </w:p>
        </w:tc>
        <w:tc>
          <w:tcPr>
            <w:tcW w:w="833" w:type="dxa"/>
            <w:shd w:val="clear" w:color="auto" w:fill="auto"/>
            <w:noWrap/>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中央安排</w:t>
            </w:r>
          </w:p>
        </w:tc>
        <w:tc>
          <w:tcPr>
            <w:tcW w:w="1450" w:type="dxa"/>
            <w:shd w:val="clear" w:color="auto" w:fill="auto"/>
            <w:vAlign w:val="center"/>
          </w:tcPr>
          <w:p>
            <w:pPr>
              <w:jc w:val="center"/>
              <w:rPr>
                <w:rFonts w:hint="eastAsia" w:asciiTheme="minorEastAsia" w:hAnsiTheme="minorEastAsia" w:eastAsiaTheme="minorEastAsia"/>
                <w:sz w:val="20"/>
                <w:szCs w:val="20"/>
              </w:rPr>
            </w:pPr>
            <w:r>
              <w:rPr>
                <w:rFonts w:asciiTheme="minorEastAsia" w:hAnsiTheme="minorEastAsia" w:eastAsiaTheme="minorEastAsia"/>
                <w:sz w:val="20"/>
                <w:szCs w:val="20"/>
              </w:rPr>
              <w:t>0.00</w:t>
            </w:r>
          </w:p>
        </w:tc>
        <w:tc>
          <w:tcPr>
            <w:tcW w:w="1335" w:type="dxa"/>
            <w:shd w:val="clear" w:color="auto" w:fill="auto"/>
            <w:vAlign w:val="center"/>
          </w:tcPr>
          <w:p>
            <w:pPr>
              <w:jc w:val="center"/>
              <w:rPr>
                <w:rFonts w:hint="eastAsia" w:asciiTheme="minorEastAsia" w:hAnsiTheme="minorEastAsia" w:eastAsiaTheme="minorEastAsia"/>
                <w:sz w:val="20"/>
                <w:szCs w:val="20"/>
              </w:rPr>
            </w:pPr>
            <w:r>
              <w:rPr>
                <w:rFonts w:asciiTheme="minorEastAsia" w:hAnsiTheme="minorEastAsia" w:eastAsiaTheme="minorEastAsia"/>
                <w:sz w:val="20"/>
                <w:szCs w:val="20"/>
              </w:rPr>
              <w:t>0.00</w:t>
            </w:r>
          </w:p>
        </w:tc>
        <w:tc>
          <w:tcPr>
            <w:tcW w:w="1560" w:type="dxa"/>
            <w:shd w:val="clear" w:color="auto" w:fill="auto"/>
            <w:vAlign w:val="center"/>
          </w:tcPr>
          <w:p>
            <w:pPr>
              <w:jc w:val="center"/>
              <w:rPr>
                <w:rFonts w:hint="eastAsia" w:asciiTheme="minorEastAsia" w:hAnsiTheme="minorEastAsia" w:eastAsiaTheme="minorEastAsia"/>
                <w:sz w:val="20"/>
                <w:szCs w:val="20"/>
              </w:rPr>
            </w:pPr>
            <w:r>
              <w:rPr>
                <w:rFonts w:asciiTheme="minorEastAsia" w:hAnsiTheme="minorEastAsia" w:eastAsiaTheme="minorEastAsia"/>
                <w:sz w:val="20"/>
                <w:szCs w:val="20"/>
              </w:rPr>
              <w:t>0.00</w:t>
            </w:r>
          </w:p>
        </w:tc>
        <w:tc>
          <w:tcPr>
            <w:tcW w:w="707"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10</w:t>
            </w:r>
          </w:p>
        </w:tc>
        <w:tc>
          <w:tcPr>
            <w:tcW w:w="709"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100%</w:t>
            </w:r>
          </w:p>
        </w:tc>
        <w:tc>
          <w:tcPr>
            <w:tcW w:w="476"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trPr>
        <w:tc>
          <w:tcPr>
            <w:tcW w:w="1452" w:type="dxa"/>
            <w:vMerge w:val="continue"/>
            <w:vAlign w:val="center"/>
          </w:tcPr>
          <w:p>
            <w:pPr>
              <w:rPr>
                <w:rFonts w:hint="eastAsia" w:asciiTheme="minorEastAsia" w:hAnsiTheme="minorEastAsia" w:eastAsiaTheme="minorEastAsia"/>
                <w:sz w:val="20"/>
                <w:szCs w:val="20"/>
              </w:rPr>
            </w:pPr>
          </w:p>
        </w:tc>
        <w:tc>
          <w:tcPr>
            <w:tcW w:w="833"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自治区安排</w:t>
            </w:r>
          </w:p>
        </w:tc>
        <w:tc>
          <w:tcPr>
            <w:tcW w:w="1450" w:type="dxa"/>
            <w:shd w:val="clear" w:color="auto" w:fill="auto"/>
            <w:vAlign w:val="center"/>
          </w:tcPr>
          <w:p>
            <w:pPr>
              <w:jc w:val="center"/>
              <w:rPr>
                <w:rFonts w:hint="eastAsia" w:asciiTheme="minorEastAsia" w:hAnsiTheme="minorEastAsia" w:eastAsiaTheme="minorEastAsia"/>
                <w:sz w:val="20"/>
                <w:szCs w:val="20"/>
              </w:rPr>
            </w:pPr>
            <w:r>
              <w:rPr>
                <w:rFonts w:asciiTheme="minorEastAsia" w:hAnsiTheme="minorEastAsia" w:eastAsiaTheme="minorEastAsia"/>
                <w:sz w:val="20"/>
                <w:szCs w:val="20"/>
              </w:rPr>
              <w:t>0.00</w:t>
            </w:r>
          </w:p>
        </w:tc>
        <w:tc>
          <w:tcPr>
            <w:tcW w:w="1335" w:type="dxa"/>
            <w:shd w:val="clear" w:color="auto" w:fill="auto"/>
            <w:vAlign w:val="center"/>
          </w:tcPr>
          <w:p>
            <w:pPr>
              <w:jc w:val="center"/>
              <w:rPr>
                <w:rFonts w:hint="eastAsia" w:asciiTheme="minorEastAsia" w:hAnsiTheme="minorEastAsia" w:eastAsiaTheme="minorEastAsia"/>
                <w:sz w:val="20"/>
                <w:szCs w:val="20"/>
              </w:rPr>
            </w:pPr>
            <w:r>
              <w:rPr>
                <w:rFonts w:asciiTheme="minorEastAsia" w:hAnsiTheme="minorEastAsia" w:eastAsiaTheme="minorEastAsia"/>
                <w:sz w:val="20"/>
                <w:szCs w:val="20"/>
              </w:rPr>
              <w:t>0.00</w:t>
            </w:r>
          </w:p>
        </w:tc>
        <w:tc>
          <w:tcPr>
            <w:tcW w:w="1560" w:type="dxa"/>
            <w:shd w:val="clear" w:color="auto" w:fill="auto"/>
            <w:vAlign w:val="center"/>
          </w:tcPr>
          <w:p>
            <w:pPr>
              <w:jc w:val="center"/>
              <w:rPr>
                <w:rFonts w:hint="eastAsia" w:asciiTheme="minorEastAsia" w:hAnsiTheme="minorEastAsia" w:eastAsiaTheme="minorEastAsia"/>
                <w:sz w:val="20"/>
                <w:szCs w:val="20"/>
              </w:rPr>
            </w:pPr>
            <w:r>
              <w:rPr>
                <w:rFonts w:asciiTheme="minorEastAsia" w:hAnsiTheme="minorEastAsia" w:eastAsiaTheme="minorEastAsia"/>
                <w:sz w:val="20"/>
                <w:szCs w:val="20"/>
              </w:rPr>
              <w:t>0.00</w:t>
            </w:r>
          </w:p>
        </w:tc>
        <w:tc>
          <w:tcPr>
            <w:tcW w:w="707"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w:t>
            </w:r>
          </w:p>
        </w:tc>
        <w:tc>
          <w:tcPr>
            <w:tcW w:w="709"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w:t>
            </w:r>
          </w:p>
        </w:tc>
        <w:tc>
          <w:tcPr>
            <w:tcW w:w="476"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trPr>
        <w:tc>
          <w:tcPr>
            <w:tcW w:w="1452" w:type="dxa"/>
            <w:vMerge w:val="continue"/>
            <w:vAlign w:val="center"/>
          </w:tcPr>
          <w:p>
            <w:pPr>
              <w:rPr>
                <w:rFonts w:hint="eastAsia" w:asciiTheme="minorEastAsia" w:hAnsiTheme="minorEastAsia" w:eastAsiaTheme="minorEastAsia"/>
                <w:sz w:val="20"/>
                <w:szCs w:val="20"/>
              </w:rPr>
            </w:pPr>
          </w:p>
        </w:tc>
        <w:tc>
          <w:tcPr>
            <w:tcW w:w="833"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地（州、市）安排</w:t>
            </w:r>
          </w:p>
        </w:tc>
        <w:tc>
          <w:tcPr>
            <w:tcW w:w="1450" w:type="dxa"/>
            <w:shd w:val="clear" w:color="auto" w:fill="auto"/>
            <w:vAlign w:val="center"/>
          </w:tcPr>
          <w:p>
            <w:pPr>
              <w:jc w:val="center"/>
              <w:rPr>
                <w:rFonts w:hint="eastAsia" w:asciiTheme="minorEastAsia" w:hAnsiTheme="minorEastAsia" w:eastAsiaTheme="minorEastAsia"/>
                <w:sz w:val="20"/>
                <w:szCs w:val="20"/>
              </w:rPr>
            </w:pPr>
            <w:r>
              <w:rPr>
                <w:rFonts w:asciiTheme="minorEastAsia" w:hAnsiTheme="minorEastAsia" w:eastAsiaTheme="minorEastAsia"/>
                <w:sz w:val="20"/>
                <w:szCs w:val="20"/>
              </w:rPr>
              <w:t>0.00</w:t>
            </w:r>
          </w:p>
        </w:tc>
        <w:tc>
          <w:tcPr>
            <w:tcW w:w="1335" w:type="dxa"/>
            <w:shd w:val="clear" w:color="auto" w:fill="auto"/>
            <w:vAlign w:val="center"/>
          </w:tcPr>
          <w:p>
            <w:pPr>
              <w:jc w:val="center"/>
              <w:rPr>
                <w:rFonts w:hint="eastAsia" w:asciiTheme="minorEastAsia" w:hAnsiTheme="minorEastAsia" w:eastAsiaTheme="minorEastAsia"/>
                <w:sz w:val="20"/>
                <w:szCs w:val="20"/>
              </w:rPr>
            </w:pPr>
            <w:r>
              <w:rPr>
                <w:rFonts w:asciiTheme="minorEastAsia" w:hAnsiTheme="minorEastAsia" w:eastAsiaTheme="minorEastAsia"/>
                <w:sz w:val="20"/>
                <w:szCs w:val="20"/>
              </w:rPr>
              <w:t>0.00</w:t>
            </w:r>
          </w:p>
        </w:tc>
        <w:tc>
          <w:tcPr>
            <w:tcW w:w="1560" w:type="dxa"/>
            <w:shd w:val="clear" w:color="auto" w:fill="auto"/>
            <w:vAlign w:val="center"/>
          </w:tcPr>
          <w:p>
            <w:pPr>
              <w:jc w:val="center"/>
              <w:rPr>
                <w:rFonts w:hint="eastAsia" w:asciiTheme="minorEastAsia" w:hAnsiTheme="minorEastAsia" w:eastAsiaTheme="minorEastAsia"/>
                <w:sz w:val="20"/>
                <w:szCs w:val="20"/>
              </w:rPr>
            </w:pPr>
            <w:r>
              <w:rPr>
                <w:rFonts w:asciiTheme="minorEastAsia" w:hAnsiTheme="minorEastAsia" w:eastAsiaTheme="minorEastAsia"/>
                <w:sz w:val="20"/>
                <w:szCs w:val="20"/>
              </w:rPr>
              <w:t>0.00</w:t>
            </w:r>
          </w:p>
        </w:tc>
        <w:tc>
          <w:tcPr>
            <w:tcW w:w="707"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w:t>
            </w:r>
          </w:p>
        </w:tc>
        <w:tc>
          <w:tcPr>
            <w:tcW w:w="709"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w:t>
            </w:r>
          </w:p>
        </w:tc>
        <w:tc>
          <w:tcPr>
            <w:tcW w:w="476"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trPr>
        <w:tc>
          <w:tcPr>
            <w:tcW w:w="1452" w:type="dxa"/>
            <w:vMerge w:val="continue"/>
            <w:vAlign w:val="center"/>
          </w:tcPr>
          <w:p>
            <w:pPr>
              <w:rPr>
                <w:rFonts w:hint="eastAsia" w:asciiTheme="minorEastAsia" w:hAnsiTheme="minorEastAsia" w:eastAsiaTheme="minorEastAsia"/>
                <w:sz w:val="20"/>
                <w:szCs w:val="20"/>
              </w:rPr>
            </w:pPr>
          </w:p>
        </w:tc>
        <w:tc>
          <w:tcPr>
            <w:tcW w:w="833"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县（市、区）安排</w:t>
            </w:r>
          </w:p>
        </w:tc>
        <w:tc>
          <w:tcPr>
            <w:tcW w:w="1450" w:type="dxa"/>
            <w:shd w:val="clear" w:color="auto" w:fill="auto"/>
            <w:vAlign w:val="center"/>
          </w:tcPr>
          <w:p>
            <w:pPr>
              <w:jc w:val="cente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2</w:t>
            </w:r>
            <w:r>
              <w:rPr>
                <w:rFonts w:asciiTheme="minorEastAsia" w:hAnsiTheme="minorEastAsia" w:eastAsiaTheme="minorEastAsia"/>
                <w:sz w:val="20"/>
                <w:szCs w:val="20"/>
              </w:rPr>
              <w:t>,</w:t>
            </w:r>
            <w:r>
              <w:rPr>
                <w:rFonts w:hint="eastAsia" w:asciiTheme="minorEastAsia" w:hAnsiTheme="minorEastAsia" w:eastAsiaTheme="minorEastAsia"/>
                <w:sz w:val="20"/>
                <w:szCs w:val="20"/>
              </w:rPr>
              <w:t>606.33</w:t>
            </w:r>
          </w:p>
        </w:tc>
        <w:tc>
          <w:tcPr>
            <w:tcW w:w="1335" w:type="dxa"/>
            <w:shd w:val="clear" w:color="auto" w:fill="auto"/>
            <w:vAlign w:val="center"/>
          </w:tcPr>
          <w:p>
            <w:pPr>
              <w:jc w:val="cente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2</w:t>
            </w:r>
            <w:r>
              <w:rPr>
                <w:rFonts w:asciiTheme="minorEastAsia" w:hAnsiTheme="minorEastAsia" w:eastAsiaTheme="minorEastAsia"/>
                <w:sz w:val="20"/>
                <w:szCs w:val="20"/>
              </w:rPr>
              <w:t>,</w:t>
            </w:r>
            <w:r>
              <w:rPr>
                <w:rFonts w:hint="eastAsia" w:asciiTheme="minorEastAsia" w:hAnsiTheme="minorEastAsia" w:eastAsiaTheme="minorEastAsia"/>
                <w:sz w:val="20"/>
                <w:szCs w:val="20"/>
              </w:rPr>
              <w:t>712.53</w:t>
            </w:r>
          </w:p>
        </w:tc>
        <w:tc>
          <w:tcPr>
            <w:tcW w:w="1560" w:type="dxa"/>
            <w:shd w:val="clear" w:color="auto" w:fill="auto"/>
            <w:vAlign w:val="center"/>
          </w:tcPr>
          <w:p>
            <w:pPr>
              <w:jc w:val="cente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2</w:t>
            </w:r>
            <w:r>
              <w:rPr>
                <w:rFonts w:asciiTheme="minorEastAsia" w:hAnsiTheme="minorEastAsia" w:eastAsiaTheme="minorEastAsia"/>
                <w:sz w:val="20"/>
                <w:szCs w:val="20"/>
              </w:rPr>
              <w:t>,</w:t>
            </w:r>
            <w:r>
              <w:rPr>
                <w:rFonts w:hint="eastAsia" w:asciiTheme="minorEastAsia" w:hAnsiTheme="minorEastAsia" w:eastAsiaTheme="minorEastAsia"/>
                <w:sz w:val="20"/>
                <w:szCs w:val="20"/>
              </w:rPr>
              <w:t>712.53</w:t>
            </w:r>
          </w:p>
        </w:tc>
        <w:tc>
          <w:tcPr>
            <w:tcW w:w="707"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w:t>
            </w:r>
          </w:p>
        </w:tc>
        <w:tc>
          <w:tcPr>
            <w:tcW w:w="709"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w:t>
            </w:r>
          </w:p>
        </w:tc>
        <w:tc>
          <w:tcPr>
            <w:tcW w:w="476"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trPr>
        <w:tc>
          <w:tcPr>
            <w:tcW w:w="1452" w:type="dxa"/>
            <w:vMerge w:val="continue"/>
            <w:vAlign w:val="center"/>
          </w:tcPr>
          <w:p>
            <w:pPr>
              <w:rPr>
                <w:rFonts w:hint="eastAsia" w:asciiTheme="minorEastAsia" w:hAnsiTheme="minorEastAsia" w:eastAsiaTheme="minorEastAsia"/>
                <w:sz w:val="20"/>
                <w:szCs w:val="20"/>
              </w:rPr>
            </w:pPr>
          </w:p>
        </w:tc>
        <w:tc>
          <w:tcPr>
            <w:tcW w:w="833"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其他资金</w:t>
            </w:r>
          </w:p>
        </w:tc>
        <w:tc>
          <w:tcPr>
            <w:tcW w:w="1450" w:type="dxa"/>
            <w:shd w:val="clear" w:color="auto" w:fill="auto"/>
            <w:vAlign w:val="center"/>
          </w:tcPr>
          <w:p>
            <w:pPr>
              <w:jc w:val="center"/>
              <w:rPr>
                <w:rFonts w:hint="eastAsia" w:asciiTheme="minorEastAsia" w:hAnsiTheme="minorEastAsia" w:eastAsiaTheme="minorEastAsia"/>
                <w:sz w:val="20"/>
                <w:szCs w:val="20"/>
              </w:rPr>
            </w:pPr>
            <w:r>
              <w:rPr>
                <w:rFonts w:asciiTheme="minorEastAsia" w:hAnsiTheme="minorEastAsia" w:eastAsiaTheme="minorEastAsia"/>
                <w:sz w:val="20"/>
                <w:szCs w:val="20"/>
              </w:rPr>
              <w:t>0.00</w:t>
            </w:r>
          </w:p>
        </w:tc>
        <w:tc>
          <w:tcPr>
            <w:tcW w:w="1335" w:type="dxa"/>
            <w:shd w:val="clear" w:color="auto" w:fill="auto"/>
            <w:vAlign w:val="center"/>
          </w:tcPr>
          <w:p>
            <w:pPr>
              <w:jc w:val="center"/>
              <w:rPr>
                <w:rFonts w:hint="eastAsia" w:asciiTheme="minorEastAsia" w:hAnsiTheme="minorEastAsia" w:eastAsiaTheme="minorEastAsia"/>
                <w:sz w:val="20"/>
                <w:szCs w:val="20"/>
              </w:rPr>
            </w:pPr>
            <w:r>
              <w:rPr>
                <w:rFonts w:asciiTheme="minorEastAsia" w:hAnsiTheme="minorEastAsia" w:eastAsiaTheme="minorEastAsia"/>
                <w:sz w:val="20"/>
                <w:szCs w:val="20"/>
              </w:rPr>
              <w:t>0.00</w:t>
            </w:r>
          </w:p>
        </w:tc>
        <w:tc>
          <w:tcPr>
            <w:tcW w:w="1560" w:type="dxa"/>
            <w:shd w:val="clear" w:color="auto" w:fill="auto"/>
            <w:vAlign w:val="center"/>
          </w:tcPr>
          <w:p>
            <w:pPr>
              <w:jc w:val="center"/>
              <w:rPr>
                <w:rFonts w:hint="eastAsia" w:asciiTheme="minorEastAsia" w:hAnsiTheme="minorEastAsia" w:eastAsiaTheme="minorEastAsia"/>
                <w:sz w:val="20"/>
                <w:szCs w:val="20"/>
              </w:rPr>
            </w:pPr>
            <w:r>
              <w:rPr>
                <w:rFonts w:asciiTheme="minorEastAsia" w:hAnsiTheme="minorEastAsia" w:eastAsiaTheme="minorEastAsia"/>
                <w:sz w:val="20"/>
                <w:szCs w:val="20"/>
              </w:rPr>
              <w:t>0.00</w:t>
            </w:r>
          </w:p>
        </w:tc>
        <w:tc>
          <w:tcPr>
            <w:tcW w:w="707"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w:t>
            </w:r>
          </w:p>
        </w:tc>
        <w:tc>
          <w:tcPr>
            <w:tcW w:w="709"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w:t>
            </w:r>
          </w:p>
        </w:tc>
        <w:tc>
          <w:tcPr>
            <w:tcW w:w="476"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trPr>
        <w:tc>
          <w:tcPr>
            <w:tcW w:w="1452" w:type="dxa"/>
            <w:vMerge w:val="continue"/>
            <w:vAlign w:val="center"/>
          </w:tcPr>
          <w:p>
            <w:pPr>
              <w:rPr>
                <w:rFonts w:hint="eastAsia" w:asciiTheme="minorEastAsia" w:hAnsiTheme="minorEastAsia" w:eastAsiaTheme="minorEastAsia"/>
                <w:sz w:val="20"/>
                <w:szCs w:val="20"/>
              </w:rPr>
            </w:pPr>
          </w:p>
        </w:tc>
        <w:tc>
          <w:tcPr>
            <w:tcW w:w="833"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合计</w:t>
            </w:r>
          </w:p>
        </w:tc>
        <w:tc>
          <w:tcPr>
            <w:tcW w:w="1450" w:type="dxa"/>
            <w:shd w:val="clear" w:color="auto" w:fill="auto"/>
            <w:vAlign w:val="center"/>
          </w:tcPr>
          <w:p>
            <w:pPr>
              <w:jc w:val="cente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2</w:t>
            </w:r>
            <w:r>
              <w:rPr>
                <w:rFonts w:asciiTheme="minorEastAsia" w:hAnsiTheme="minorEastAsia" w:eastAsiaTheme="minorEastAsia"/>
                <w:sz w:val="20"/>
                <w:szCs w:val="20"/>
              </w:rPr>
              <w:t>,</w:t>
            </w:r>
            <w:r>
              <w:rPr>
                <w:rFonts w:hint="eastAsia" w:asciiTheme="minorEastAsia" w:hAnsiTheme="minorEastAsia" w:eastAsiaTheme="minorEastAsia"/>
                <w:sz w:val="20"/>
                <w:szCs w:val="20"/>
              </w:rPr>
              <w:t>606.33</w:t>
            </w:r>
          </w:p>
        </w:tc>
        <w:tc>
          <w:tcPr>
            <w:tcW w:w="1335" w:type="dxa"/>
            <w:shd w:val="clear" w:color="auto" w:fill="auto"/>
            <w:vAlign w:val="center"/>
          </w:tcPr>
          <w:p>
            <w:pPr>
              <w:jc w:val="cente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2</w:t>
            </w:r>
            <w:r>
              <w:rPr>
                <w:rFonts w:asciiTheme="minorEastAsia" w:hAnsiTheme="minorEastAsia" w:eastAsiaTheme="minorEastAsia"/>
                <w:sz w:val="20"/>
                <w:szCs w:val="20"/>
              </w:rPr>
              <w:t>,</w:t>
            </w:r>
            <w:r>
              <w:rPr>
                <w:rFonts w:hint="eastAsia" w:asciiTheme="minorEastAsia" w:hAnsiTheme="minorEastAsia" w:eastAsiaTheme="minorEastAsia"/>
                <w:sz w:val="20"/>
                <w:szCs w:val="20"/>
              </w:rPr>
              <w:t>712.53</w:t>
            </w:r>
          </w:p>
        </w:tc>
        <w:tc>
          <w:tcPr>
            <w:tcW w:w="1560" w:type="dxa"/>
            <w:shd w:val="clear" w:color="auto" w:fill="auto"/>
            <w:vAlign w:val="center"/>
          </w:tcPr>
          <w:p>
            <w:pPr>
              <w:jc w:val="cente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2</w:t>
            </w:r>
            <w:r>
              <w:rPr>
                <w:rFonts w:asciiTheme="minorEastAsia" w:hAnsiTheme="minorEastAsia" w:eastAsiaTheme="minorEastAsia"/>
                <w:sz w:val="20"/>
                <w:szCs w:val="20"/>
              </w:rPr>
              <w:t>,</w:t>
            </w:r>
            <w:r>
              <w:rPr>
                <w:rFonts w:hint="eastAsia" w:asciiTheme="minorEastAsia" w:hAnsiTheme="minorEastAsia" w:eastAsiaTheme="minorEastAsia"/>
                <w:sz w:val="20"/>
                <w:szCs w:val="20"/>
              </w:rPr>
              <w:t>712.53</w:t>
            </w:r>
          </w:p>
        </w:tc>
        <w:tc>
          <w:tcPr>
            <w:tcW w:w="707"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w:t>
            </w:r>
          </w:p>
        </w:tc>
        <w:tc>
          <w:tcPr>
            <w:tcW w:w="709"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w:t>
            </w:r>
          </w:p>
        </w:tc>
        <w:tc>
          <w:tcPr>
            <w:tcW w:w="476"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5" w:hRule="atLeast"/>
        </w:trPr>
        <w:tc>
          <w:tcPr>
            <w:tcW w:w="1452" w:type="dxa"/>
            <w:vMerge w:val="restart"/>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年度总体目标</w:t>
            </w:r>
          </w:p>
        </w:tc>
        <w:tc>
          <w:tcPr>
            <w:tcW w:w="3618" w:type="dxa"/>
            <w:gridSpan w:val="3"/>
            <w:shd w:val="clear" w:color="auto" w:fill="auto"/>
            <w:noWrap/>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预期目标</w:t>
            </w:r>
          </w:p>
        </w:tc>
        <w:tc>
          <w:tcPr>
            <w:tcW w:w="3452" w:type="dxa"/>
            <w:gridSpan w:val="4"/>
            <w:shd w:val="clear" w:color="auto" w:fill="auto"/>
            <w:noWrap/>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99" w:hRule="atLeast"/>
        </w:trPr>
        <w:tc>
          <w:tcPr>
            <w:tcW w:w="1452" w:type="dxa"/>
            <w:vMerge w:val="continue"/>
            <w:vAlign w:val="center"/>
          </w:tcPr>
          <w:p>
            <w:pPr>
              <w:rPr>
                <w:rFonts w:hint="eastAsia" w:asciiTheme="minorEastAsia" w:hAnsiTheme="minorEastAsia" w:eastAsiaTheme="minorEastAsia"/>
                <w:sz w:val="20"/>
                <w:szCs w:val="20"/>
              </w:rPr>
            </w:pPr>
          </w:p>
        </w:tc>
        <w:tc>
          <w:tcPr>
            <w:tcW w:w="3618" w:type="dxa"/>
            <w:gridSpan w:val="3"/>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目标1：保障镇党委政府各项工作圆满完成。</w:t>
            </w:r>
          </w:p>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目标2：保障镇领导工作正常有序开展。</w:t>
            </w:r>
          </w:p>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目标3：保障木垒镇人大代表经费，确保我镇人代会能顺利开展。</w:t>
            </w:r>
          </w:p>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目标4：保障7个社区运转经费，确保各社区工作顺利开展。</w:t>
            </w:r>
          </w:p>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目标5：保障惠民资金，确保我镇辖区内低保户、高龄老人和残疾人能有基本资金保障。</w:t>
            </w:r>
          </w:p>
        </w:tc>
        <w:tc>
          <w:tcPr>
            <w:tcW w:w="3452" w:type="dxa"/>
            <w:gridSpan w:val="4"/>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截止部门整体自评，我单位已完成如下工作：保障办公人员数量176人，公务保障用车数量15辆，组织政策宣传次数120次。保障了7个社区的正常运转，确保各社区工作顺利开展，保障惠民资金的支付。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2" w:hRule="atLeast"/>
        </w:trPr>
        <w:tc>
          <w:tcPr>
            <w:tcW w:w="1452"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一级指标</w:t>
            </w:r>
          </w:p>
        </w:tc>
        <w:tc>
          <w:tcPr>
            <w:tcW w:w="833"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二级指标</w:t>
            </w:r>
          </w:p>
        </w:tc>
        <w:tc>
          <w:tcPr>
            <w:tcW w:w="1450"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三级指标</w:t>
            </w:r>
          </w:p>
        </w:tc>
        <w:tc>
          <w:tcPr>
            <w:tcW w:w="1335"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预期指标值</w:t>
            </w:r>
          </w:p>
        </w:tc>
        <w:tc>
          <w:tcPr>
            <w:tcW w:w="1560"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指标值设定依据</w:t>
            </w:r>
          </w:p>
        </w:tc>
        <w:tc>
          <w:tcPr>
            <w:tcW w:w="707"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分值权重</w:t>
            </w:r>
          </w:p>
        </w:tc>
        <w:tc>
          <w:tcPr>
            <w:tcW w:w="709"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实际完成指标值</w:t>
            </w:r>
          </w:p>
        </w:tc>
        <w:tc>
          <w:tcPr>
            <w:tcW w:w="476"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trPr>
        <w:tc>
          <w:tcPr>
            <w:tcW w:w="1452" w:type="dxa"/>
            <w:vMerge w:val="restart"/>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运行成本</w:t>
            </w:r>
          </w:p>
        </w:tc>
        <w:tc>
          <w:tcPr>
            <w:tcW w:w="833" w:type="dxa"/>
            <w:vMerge w:val="restart"/>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数量指标</w:t>
            </w:r>
          </w:p>
        </w:tc>
        <w:tc>
          <w:tcPr>
            <w:tcW w:w="1450"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保障办公人员数量</w:t>
            </w:r>
          </w:p>
        </w:tc>
        <w:tc>
          <w:tcPr>
            <w:tcW w:w="1335"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=176人</w:t>
            </w:r>
          </w:p>
        </w:tc>
        <w:tc>
          <w:tcPr>
            <w:tcW w:w="1560"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木垒哈萨克自治县木垒镇人民政府机构改革方案</w:t>
            </w:r>
          </w:p>
        </w:tc>
        <w:tc>
          <w:tcPr>
            <w:tcW w:w="707"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6</w:t>
            </w:r>
          </w:p>
        </w:tc>
        <w:tc>
          <w:tcPr>
            <w:tcW w:w="709"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176人</w:t>
            </w:r>
          </w:p>
        </w:tc>
        <w:tc>
          <w:tcPr>
            <w:tcW w:w="476"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trPr>
        <w:tc>
          <w:tcPr>
            <w:tcW w:w="1452" w:type="dxa"/>
            <w:vMerge w:val="continue"/>
            <w:vAlign w:val="center"/>
          </w:tcPr>
          <w:p>
            <w:pPr>
              <w:rPr>
                <w:rFonts w:hint="eastAsia" w:asciiTheme="minorEastAsia" w:hAnsiTheme="minorEastAsia" w:eastAsiaTheme="minorEastAsia"/>
                <w:sz w:val="20"/>
                <w:szCs w:val="20"/>
              </w:rPr>
            </w:pPr>
          </w:p>
        </w:tc>
        <w:tc>
          <w:tcPr>
            <w:tcW w:w="833" w:type="dxa"/>
            <w:vMerge w:val="continue"/>
            <w:vAlign w:val="center"/>
          </w:tcPr>
          <w:p>
            <w:pPr>
              <w:rPr>
                <w:rFonts w:hint="eastAsia" w:asciiTheme="minorEastAsia" w:hAnsiTheme="minorEastAsia" w:eastAsiaTheme="minorEastAsia"/>
                <w:sz w:val="20"/>
                <w:szCs w:val="20"/>
              </w:rPr>
            </w:pPr>
          </w:p>
        </w:tc>
        <w:tc>
          <w:tcPr>
            <w:tcW w:w="1450"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公务保障用车数量</w:t>
            </w:r>
          </w:p>
        </w:tc>
        <w:tc>
          <w:tcPr>
            <w:tcW w:w="1335"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&gt;=15辆</w:t>
            </w:r>
          </w:p>
        </w:tc>
        <w:tc>
          <w:tcPr>
            <w:tcW w:w="1560"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木垒哈萨克自治县木垒镇人民政府机构改革方案</w:t>
            </w:r>
          </w:p>
        </w:tc>
        <w:tc>
          <w:tcPr>
            <w:tcW w:w="707"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6</w:t>
            </w:r>
          </w:p>
        </w:tc>
        <w:tc>
          <w:tcPr>
            <w:tcW w:w="709"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15辆</w:t>
            </w:r>
          </w:p>
        </w:tc>
        <w:tc>
          <w:tcPr>
            <w:tcW w:w="476"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trPr>
        <w:tc>
          <w:tcPr>
            <w:tcW w:w="1452"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管理效率</w:t>
            </w:r>
          </w:p>
        </w:tc>
        <w:tc>
          <w:tcPr>
            <w:tcW w:w="833"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质量指标</w:t>
            </w:r>
          </w:p>
        </w:tc>
        <w:tc>
          <w:tcPr>
            <w:tcW w:w="1450"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补贴资金精准率</w:t>
            </w:r>
          </w:p>
        </w:tc>
        <w:tc>
          <w:tcPr>
            <w:tcW w:w="1335"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=100%</w:t>
            </w:r>
          </w:p>
        </w:tc>
        <w:tc>
          <w:tcPr>
            <w:tcW w:w="1560"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木垒哈萨克自治县木垒镇人民政府机构改革方案</w:t>
            </w:r>
          </w:p>
        </w:tc>
        <w:tc>
          <w:tcPr>
            <w:tcW w:w="707"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12</w:t>
            </w:r>
          </w:p>
        </w:tc>
        <w:tc>
          <w:tcPr>
            <w:tcW w:w="709"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100%</w:t>
            </w:r>
          </w:p>
        </w:tc>
        <w:tc>
          <w:tcPr>
            <w:tcW w:w="476"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trPr>
        <w:tc>
          <w:tcPr>
            <w:tcW w:w="1452" w:type="dxa"/>
            <w:vMerge w:val="restart"/>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履职效能</w:t>
            </w:r>
          </w:p>
        </w:tc>
        <w:tc>
          <w:tcPr>
            <w:tcW w:w="833" w:type="dxa"/>
            <w:vMerge w:val="restart"/>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数量指标</w:t>
            </w:r>
          </w:p>
        </w:tc>
        <w:tc>
          <w:tcPr>
            <w:tcW w:w="1450"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组织政策宣传次数</w:t>
            </w:r>
          </w:p>
        </w:tc>
        <w:tc>
          <w:tcPr>
            <w:tcW w:w="1335"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&gt;=120次</w:t>
            </w:r>
          </w:p>
        </w:tc>
        <w:tc>
          <w:tcPr>
            <w:tcW w:w="1560"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木垒镇人民政府2023年工作计划</w:t>
            </w:r>
          </w:p>
        </w:tc>
        <w:tc>
          <w:tcPr>
            <w:tcW w:w="707"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12</w:t>
            </w:r>
          </w:p>
        </w:tc>
        <w:tc>
          <w:tcPr>
            <w:tcW w:w="709"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120次</w:t>
            </w:r>
          </w:p>
        </w:tc>
        <w:tc>
          <w:tcPr>
            <w:tcW w:w="476"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trPr>
        <w:tc>
          <w:tcPr>
            <w:tcW w:w="1452" w:type="dxa"/>
            <w:vMerge w:val="continue"/>
            <w:vAlign w:val="center"/>
          </w:tcPr>
          <w:p>
            <w:pPr>
              <w:rPr>
                <w:rFonts w:hint="eastAsia" w:asciiTheme="minorEastAsia" w:hAnsiTheme="minorEastAsia" w:eastAsiaTheme="minorEastAsia"/>
                <w:sz w:val="20"/>
                <w:szCs w:val="20"/>
              </w:rPr>
            </w:pPr>
          </w:p>
        </w:tc>
        <w:tc>
          <w:tcPr>
            <w:tcW w:w="833" w:type="dxa"/>
            <w:vMerge w:val="continue"/>
            <w:vAlign w:val="center"/>
          </w:tcPr>
          <w:p>
            <w:pPr>
              <w:rPr>
                <w:rFonts w:hint="eastAsia" w:asciiTheme="minorEastAsia" w:hAnsiTheme="minorEastAsia" w:eastAsiaTheme="minorEastAsia"/>
                <w:sz w:val="20"/>
                <w:szCs w:val="20"/>
              </w:rPr>
            </w:pPr>
          </w:p>
        </w:tc>
        <w:tc>
          <w:tcPr>
            <w:tcW w:w="1450"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享受残疾人两项补贴人数</w:t>
            </w:r>
          </w:p>
        </w:tc>
        <w:tc>
          <w:tcPr>
            <w:tcW w:w="1335"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&gt;=200人</w:t>
            </w:r>
          </w:p>
        </w:tc>
        <w:tc>
          <w:tcPr>
            <w:tcW w:w="1560"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木垒镇人民政府2023年工作计划</w:t>
            </w:r>
          </w:p>
        </w:tc>
        <w:tc>
          <w:tcPr>
            <w:tcW w:w="707"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12</w:t>
            </w:r>
          </w:p>
        </w:tc>
        <w:tc>
          <w:tcPr>
            <w:tcW w:w="709"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200人</w:t>
            </w:r>
          </w:p>
        </w:tc>
        <w:tc>
          <w:tcPr>
            <w:tcW w:w="476"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trPr>
        <w:tc>
          <w:tcPr>
            <w:tcW w:w="1452" w:type="dxa"/>
            <w:vMerge w:val="continue"/>
            <w:vAlign w:val="center"/>
          </w:tcPr>
          <w:p>
            <w:pPr>
              <w:rPr>
                <w:rFonts w:hint="eastAsia" w:asciiTheme="minorEastAsia" w:hAnsiTheme="minorEastAsia" w:eastAsiaTheme="minorEastAsia"/>
                <w:sz w:val="20"/>
                <w:szCs w:val="20"/>
              </w:rPr>
            </w:pPr>
          </w:p>
        </w:tc>
        <w:tc>
          <w:tcPr>
            <w:tcW w:w="833" w:type="dxa"/>
            <w:vMerge w:val="continue"/>
            <w:vAlign w:val="center"/>
          </w:tcPr>
          <w:p>
            <w:pPr>
              <w:rPr>
                <w:rFonts w:hint="eastAsia" w:asciiTheme="minorEastAsia" w:hAnsiTheme="minorEastAsia" w:eastAsiaTheme="minorEastAsia"/>
                <w:sz w:val="20"/>
                <w:szCs w:val="20"/>
              </w:rPr>
            </w:pPr>
          </w:p>
        </w:tc>
        <w:tc>
          <w:tcPr>
            <w:tcW w:w="1450"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发放困难救助人数</w:t>
            </w:r>
          </w:p>
        </w:tc>
        <w:tc>
          <w:tcPr>
            <w:tcW w:w="1335"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&gt;=228人</w:t>
            </w:r>
          </w:p>
        </w:tc>
        <w:tc>
          <w:tcPr>
            <w:tcW w:w="1560"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木垒镇人民政府2023年工作计划</w:t>
            </w:r>
          </w:p>
        </w:tc>
        <w:tc>
          <w:tcPr>
            <w:tcW w:w="707"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12</w:t>
            </w:r>
          </w:p>
        </w:tc>
        <w:tc>
          <w:tcPr>
            <w:tcW w:w="709"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228人</w:t>
            </w:r>
          </w:p>
        </w:tc>
        <w:tc>
          <w:tcPr>
            <w:tcW w:w="476"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trPr>
        <w:tc>
          <w:tcPr>
            <w:tcW w:w="1452" w:type="dxa"/>
            <w:vMerge w:val="continue"/>
            <w:vAlign w:val="center"/>
          </w:tcPr>
          <w:p>
            <w:pPr>
              <w:rPr>
                <w:rFonts w:hint="eastAsia" w:asciiTheme="minorEastAsia" w:hAnsiTheme="minorEastAsia" w:eastAsiaTheme="minorEastAsia"/>
                <w:sz w:val="20"/>
                <w:szCs w:val="20"/>
              </w:rPr>
            </w:pPr>
          </w:p>
        </w:tc>
        <w:tc>
          <w:tcPr>
            <w:tcW w:w="833" w:type="dxa"/>
            <w:vMerge w:val="continue"/>
            <w:vAlign w:val="center"/>
          </w:tcPr>
          <w:p>
            <w:pPr>
              <w:rPr>
                <w:rFonts w:hint="eastAsia" w:asciiTheme="minorEastAsia" w:hAnsiTheme="minorEastAsia" w:eastAsiaTheme="minorEastAsia"/>
                <w:sz w:val="20"/>
                <w:szCs w:val="20"/>
              </w:rPr>
            </w:pPr>
          </w:p>
        </w:tc>
        <w:tc>
          <w:tcPr>
            <w:tcW w:w="1450" w:type="dxa"/>
            <w:shd w:val="clear" w:color="auto" w:fill="auto"/>
            <w:noWrap/>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享受高龄补贴人数</w:t>
            </w:r>
          </w:p>
        </w:tc>
        <w:tc>
          <w:tcPr>
            <w:tcW w:w="1335" w:type="dxa"/>
            <w:shd w:val="clear" w:color="auto" w:fill="auto"/>
            <w:noWrap/>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&gt;=1110人</w:t>
            </w:r>
          </w:p>
        </w:tc>
        <w:tc>
          <w:tcPr>
            <w:tcW w:w="1560" w:type="dxa"/>
            <w:shd w:val="clear" w:color="auto" w:fill="auto"/>
            <w:noWrap/>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木垒镇人民政府2023年工作计划</w:t>
            </w:r>
          </w:p>
        </w:tc>
        <w:tc>
          <w:tcPr>
            <w:tcW w:w="707" w:type="dxa"/>
            <w:shd w:val="clear" w:color="auto" w:fill="auto"/>
            <w:noWrap/>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12</w:t>
            </w:r>
          </w:p>
        </w:tc>
        <w:tc>
          <w:tcPr>
            <w:tcW w:w="709" w:type="dxa"/>
            <w:shd w:val="clear" w:color="auto" w:fill="auto"/>
            <w:noWrap/>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1110人</w:t>
            </w:r>
          </w:p>
        </w:tc>
        <w:tc>
          <w:tcPr>
            <w:tcW w:w="476" w:type="dxa"/>
            <w:shd w:val="clear" w:color="auto" w:fill="auto"/>
            <w:noWrap/>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trPr>
        <w:tc>
          <w:tcPr>
            <w:tcW w:w="1452" w:type="dxa"/>
            <w:vMerge w:val="continue"/>
            <w:vAlign w:val="center"/>
          </w:tcPr>
          <w:p>
            <w:pPr>
              <w:rPr>
                <w:rFonts w:hint="eastAsia" w:asciiTheme="minorEastAsia" w:hAnsiTheme="minorEastAsia" w:eastAsiaTheme="minorEastAsia"/>
                <w:sz w:val="20"/>
                <w:szCs w:val="20"/>
              </w:rPr>
            </w:pPr>
          </w:p>
        </w:tc>
        <w:tc>
          <w:tcPr>
            <w:tcW w:w="833" w:type="dxa"/>
            <w:vMerge w:val="continue"/>
            <w:vAlign w:val="center"/>
          </w:tcPr>
          <w:p>
            <w:pPr>
              <w:rPr>
                <w:rFonts w:hint="eastAsia" w:asciiTheme="minorEastAsia" w:hAnsiTheme="minorEastAsia" w:eastAsiaTheme="minorEastAsia"/>
                <w:sz w:val="20"/>
                <w:szCs w:val="20"/>
              </w:rPr>
            </w:pPr>
          </w:p>
        </w:tc>
        <w:tc>
          <w:tcPr>
            <w:tcW w:w="1450" w:type="dxa"/>
            <w:shd w:val="clear" w:color="auto" w:fill="auto"/>
            <w:noWrap/>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相关人群投诉率</w:t>
            </w:r>
          </w:p>
        </w:tc>
        <w:tc>
          <w:tcPr>
            <w:tcW w:w="1335" w:type="dxa"/>
            <w:shd w:val="clear" w:color="auto" w:fill="auto"/>
            <w:noWrap/>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&gt;=95%</w:t>
            </w:r>
          </w:p>
        </w:tc>
        <w:tc>
          <w:tcPr>
            <w:tcW w:w="1560" w:type="dxa"/>
            <w:shd w:val="clear" w:color="auto" w:fill="auto"/>
            <w:noWrap/>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木垒镇人民政府2023年工作计划</w:t>
            </w:r>
          </w:p>
        </w:tc>
        <w:tc>
          <w:tcPr>
            <w:tcW w:w="707" w:type="dxa"/>
            <w:shd w:val="clear" w:color="auto" w:fill="auto"/>
            <w:noWrap/>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12</w:t>
            </w:r>
          </w:p>
        </w:tc>
        <w:tc>
          <w:tcPr>
            <w:tcW w:w="709" w:type="dxa"/>
            <w:shd w:val="clear" w:color="auto" w:fill="auto"/>
            <w:noWrap/>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95%</w:t>
            </w:r>
          </w:p>
        </w:tc>
        <w:tc>
          <w:tcPr>
            <w:tcW w:w="476" w:type="dxa"/>
            <w:shd w:val="clear" w:color="auto" w:fill="auto"/>
            <w:noWrap/>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trPr>
        <w:tc>
          <w:tcPr>
            <w:tcW w:w="1452" w:type="dxa"/>
            <w:shd w:val="clear" w:color="auto" w:fill="auto"/>
            <w:noWrap/>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社会效益</w:t>
            </w:r>
          </w:p>
        </w:tc>
        <w:tc>
          <w:tcPr>
            <w:tcW w:w="833" w:type="dxa"/>
            <w:shd w:val="clear" w:color="auto" w:fill="auto"/>
            <w:noWrap/>
            <w:vAlign w:val="center"/>
          </w:tcPr>
          <w:p>
            <w:pPr>
              <w:rPr>
                <w:rFonts w:hint="eastAsia" w:asciiTheme="minorEastAsia" w:hAnsiTheme="minorEastAsia" w:eastAsiaTheme="minorEastAsia"/>
                <w:sz w:val="20"/>
                <w:szCs w:val="20"/>
              </w:rPr>
            </w:pPr>
          </w:p>
        </w:tc>
        <w:tc>
          <w:tcPr>
            <w:tcW w:w="1450" w:type="dxa"/>
            <w:shd w:val="clear" w:color="auto" w:fill="auto"/>
            <w:noWrap/>
            <w:vAlign w:val="center"/>
          </w:tcPr>
          <w:p>
            <w:pPr>
              <w:rPr>
                <w:rFonts w:hint="eastAsia" w:asciiTheme="minorEastAsia" w:hAnsiTheme="minorEastAsia" w:eastAsiaTheme="minorEastAsia"/>
                <w:sz w:val="20"/>
                <w:szCs w:val="20"/>
              </w:rPr>
            </w:pPr>
          </w:p>
        </w:tc>
        <w:tc>
          <w:tcPr>
            <w:tcW w:w="1335" w:type="dxa"/>
            <w:shd w:val="clear" w:color="auto" w:fill="auto"/>
            <w:noWrap/>
            <w:vAlign w:val="center"/>
          </w:tcPr>
          <w:p>
            <w:pPr>
              <w:rPr>
                <w:rFonts w:hint="eastAsia" w:asciiTheme="minorEastAsia" w:hAnsiTheme="minorEastAsia" w:eastAsiaTheme="minorEastAsia"/>
                <w:sz w:val="20"/>
                <w:szCs w:val="20"/>
              </w:rPr>
            </w:pPr>
          </w:p>
        </w:tc>
        <w:tc>
          <w:tcPr>
            <w:tcW w:w="1560" w:type="dxa"/>
            <w:shd w:val="clear" w:color="auto" w:fill="auto"/>
            <w:noWrap/>
            <w:vAlign w:val="center"/>
          </w:tcPr>
          <w:p>
            <w:pPr>
              <w:rPr>
                <w:rFonts w:hint="eastAsia" w:asciiTheme="minorEastAsia" w:hAnsiTheme="minorEastAsia" w:eastAsiaTheme="minorEastAsia"/>
                <w:sz w:val="20"/>
                <w:szCs w:val="20"/>
              </w:rPr>
            </w:pPr>
          </w:p>
        </w:tc>
        <w:tc>
          <w:tcPr>
            <w:tcW w:w="707" w:type="dxa"/>
            <w:shd w:val="clear" w:color="auto" w:fill="auto"/>
            <w:noWrap/>
            <w:vAlign w:val="center"/>
          </w:tcPr>
          <w:p>
            <w:pPr>
              <w:rPr>
                <w:rFonts w:hint="eastAsia" w:asciiTheme="minorEastAsia" w:hAnsiTheme="minorEastAsia" w:eastAsiaTheme="minorEastAsia"/>
                <w:sz w:val="20"/>
                <w:szCs w:val="20"/>
              </w:rPr>
            </w:pPr>
          </w:p>
        </w:tc>
        <w:tc>
          <w:tcPr>
            <w:tcW w:w="709" w:type="dxa"/>
            <w:shd w:val="clear" w:color="auto" w:fill="auto"/>
            <w:noWrap/>
            <w:vAlign w:val="center"/>
          </w:tcPr>
          <w:p>
            <w:pPr>
              <w:rPr>
                <w:rFonts w:hint="eastAsia" w:asciiTheme="minorEastAsia" w:hAnsiTheme="minorEastAsia" w:eastAsiaTheme="minorEastAsia"/>
                <w:sz w:val="20"/>
                <w:szCs w:val="20"/>
              </w:rPr>
            </w:pPr>
          </w:p>
        </w:tc>
        <w:tc>
          <w:tcPr>
            <w:tcW w:w="476" w:type="dxa"/>
            <w:shd w:val="clear" w:color="auto" w:fill="auto"/>
            <w:noWrap/>
            <w:vAlign w:val="center"/>
          </w:tcPr>
          <w:p>
            <w:pPr>
              <w:rPr>
                <w:rFonts w:hint="eastAsia" w:asciiTheme="minorEastAsia" w:hAnsiTheme="minorEastAsia" w:eastAsiaTheme="minorEastAsia"/>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trPr>
        <w:tc>
          <w:tcPr>
            <w:tcW w:w="1452" w:type="dxa"/>
            <w:shd w:val="clear" w:color="auto" w:fill="auto"/>
            <w:noWrap/>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可持续发展能力</w:t>
            </w:r>
          </w:p>
        </w:tc>
        <w:tc>
          <w:tcPr>
            <w:tcW w:w="833" w:type="dxa"/>
            <w:shd w:val="clear" w:color="auto" w:fill="auto"/>
            <w:noWrap/>
            <w:vAlign w:val="center"/>
          </w:tcPr>
          <w:p>
            <w:pPr>
              <w:rPr>
                <w:rFonts w:hint="eastAsia" w:asciiTheme="minorEastAsia" w:hAnsiTheme="minorEastAsia" w:eastAsiaTheme="minorEastAsia"/>
                <w:sz w:val="20"/>
                <w:szCs w:val="20"/>
              </w:rPr>
            </w:pPr>
          </w:p>
        </w:tc>
        <w:tc>
          <w:tcPr>
            <w:tcW w:w="1450" w:type="dxa"/>
            <w:shd w:val="clear" w:color="auto" w:fill="auto"/>
            <w:noWrap/>
            <w:vAlign w:val="center"/>
          </w:tcPr>
          <w:p>
            <w:pPr>
              <w:rPr>
                <w:rFonts w:hint="eastAsia" w:asciiTheme="minorEastAsia" w:hAnsiTheme="minorEastAsia" w:eastAsiaTheme="minorEastAsia"/>
                <w:sz w:val="20"/>
                <w:szCs w:val="20"/>
              </w:rPr>
            </w:pPr>
          </w:p>
        </w:tc>
        <w:tc>
          <w:tcPr>
            <w:tcW w:w="1335" w:type="dxa"/>
            <w:shd w:val="clear" w:color="auto" w:fill="auto"/>
            <w:noWrap/>
            <w:vAlign w:val="center"/>
          </w:tcPr>
          <w:p>
            <w:pPr>
              <w:rPr>
                <w:rFonts w:hint="eastAsia" w:asciiTheme="minorEastAsia" w:hAnsiTheme="minorEastAsia" w:eastAsiaTheme="minorEastAsia"/>
                <w:sz w:val="20"/>
                <w:szCs w:val="20"/>
              </w:rPr>
            </w:pPr>
          </w:p>
        </w:tc>
        <w:tc>
          <w:tcPr>
            <w:tcW w:w="1560" w:type="dxa"/>
            <w:shd w:val="clear" w:color="auto" w:fill="auto"/>
            <w:noWrap/>
            <w:vAlign w:val="center"/>
          </w:tcPr>
          <w:p>
            <w:pPr>
              <w:rPr>
                <w:rFonts w:hint="eastAsia" w:asciiTheme="minorEastAsia" w:hAnsiTheme="minorEastAsia" w:eastAsiaTheme="minorEastAsia"/>
                <w:sz w:val="20"/>
                <w:szCs w:val="20"/>
              </w:rPr>
            </w:pPr>
          </w:p>
        </w:tc>
        <w:tc>
          <w:tcPr>
            <w:tcW w:w="707" w:type="dxa"/>
            <w:shd w:val="clear" w:color="auto" w:fill="auto"/>
            <w:noWrap/>
            <w:vAlign w:val="center"/>
          </w:tcPr>
          <w:p>
            <w:pPr>
              <w:rPr>
                <w:rFonts w:hint="eastAsia" w:asciiTheme="minorEastAsia" w:hAnsiTheme="minorEastAsia" w:eastAsiaTheme="minorEastAsia"/>
                <w:sz w:val="20"/>
                <w:szCs w:val="20"/>
              </w:rPr>
            </w:pPr>
          </w:p>
        </w:tc>
        <w:tc>
          <w:tcPr>
            <w:tcW w:w="709" w:type="dxa"/>
            <w:shd w:val="clear" w:color="auto" w:fill="auto"/>
            <w:noWrap/>
            <w:vAlign w:val="center"/>
          </w:tcPr>
          <w:p>
            <w:pPr>
              <w:rPr>
                <w:rFonts w:hint="eastAsia" w:asciiTheme="minorEastAsia" w:hAnsiTheme="minorEastAsia" w:eastAsiaTheme="minorEastAsia"/>
                <w:sz w:val="20"/>
                <w:szCs w:val="20"/>
              </w:rPr>
            </w:pPr>
          </w:p>
        </w:tc>
        <w:tc>
          <w:tcPr>
            <w:tcW w:w="476" w:type="dxa"/>
            <w:shd w:val="clear" w:color="auto" w:fill="auto"/>
            <w:noWrap/>
            <w:vAlign w:val="center"/>
          </w:tcPr>
          <w:p>
            <w:pPr>
              <w:rPr>
                <w:rFonts w:hint="eastAsia" w:asciiTheme="minorEastAsia" w:hAnsiTheme="minorEastAsia" w:eastAsiaTheme="minorEastAsia"/>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trPr>
        <w:tc>
          <w:tcPr>
            <w:tcW w:w="1452" w:type="dxa"/>
            <w:shd w:val="clear" w:color="auto" w:fill="auto"/>
            <w:noWrap/>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服务对象满意度</w:t>
            </w:r>
          </w:p>
        </w:tc>
        <w:tc>
          <w:tcPr>
            <w:tcW w:w="833" w:type="dxa"/>
            <w:shd w:val="clear" w:color="auto" w:fill="auto"/>
            <w:noWrap/>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质量指标</w:t>
            </w:r>
          </w:p>
        </w:tc>
        <w:tc>
          <w:tcPr>
            <w:tcW w:w="1450" w:type="dxa"/>
            <w:shd w:val="clear" w:color="auto" w:fill="auto"/>
            <w:noWrap/>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社区居民满意度</w:t>
            </w:r>
          </w:p>
        </w:tc>
        <w:tc>
          <w:tcPr>
            <w:tcW w:w="1335" w:type="dxa"/>
            <w:shd w:val="clear" w:color="auto" w:fill="auto"/>
            <w:noWrap/>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&gt;=95%</w:t>
            </w:r>
          </w:p>
        </w:tc>
        <w:tc>
          <w:tcPr>
            <w:tcW w:w="1560" w:type="dxa"/>
            <w:shd w:val="clear" w:color="auto" w:fill="auto"/>
            <w:noWrap/>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木垒镇人民政府2023年工作计划</w:t>
            </w:r>
          </w:p>
        </w:tc>
        <w:tc>
          <w:tcPr>
            <w:tcW w:w="707" w:type="dxa"/>
            <w:shd w:val="clear" w:color="auto" w:fill="auto"/>
            <w:noWrap/>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6</w:t>
            </w:r>
          </w:p>
        </w:tc>
        <w:tc>
          <w:tcPr>
            <w:tcW w:w="709" w:type="dxa"/>
            <w:shd w:val="clear" w:color="auto" w:fill="auto"/>
            <w:noWrap/>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95%</w:t>
            </w:r>
          </w:p>
        </w:tc>
        <w:tc>
          <w:tcPr>
            <w:tcW w:w="476" w:type="dxa"/>
            <w:shd w:val="clear" w:color="auto" w:fill="auto"/>
            <w:noWrap/>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6</w:t>
            </w:r>
          </w:p>
        </w:tc>
      </w:tr>
    </w:tbl>
    <w:p>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0"/>
        <w:gridCol w:w="416"/>
        <w:gridCol w:w="1403"/>
        <w:gridCol w:w="1416"/>
        <w:gridCol w:w="1275"/>
        <w:gridCol w:w="1358"/>
        <w:gridCol w:w="516"/>
        <w:gridCol w:w="90"/>
        <w:gridCol w:w="467"/>
        <w:gridCol w:w="450"/>
        <w:gridCol w:w="7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8522" w:type="dxa"/>
            <w:gridSpan w:val="11"/>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522" w:type="dxa"/>
            <w:gridSpan w:val="11"/>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86" w:type="dxa"/>
            <w:gridSpan w:val="9"/>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“无非法集资示范区（村）”建设资金项目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094"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木垒县木垒镇政府</w:t>
            </w:r>
          </w:p>
        </w:tc>
        <w:tc>
          <w:tcPr>
            <w:tcW w:w="13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234"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836"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40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3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0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6" w:type="dxa"/>
            <w:gridSpan w:val="2"/>
            <w:vMerge w:val="continue"/>
            <w:vAlign w:val="center"/>
          </w:tcPr>
          <w:p>
            <w:pPr>
              <w:widowControl/>
              <w:jc w:val="left"/>
              <w:rPr>
                <w:rFonts w:hint="eastAsia" w:ascii="宋体" w:hAnsi="宋体" w:cs="宋体"/>
                <w:color w:val="000000"/>
                <w:kern w:val="0"/>
                <w:sz w:val="20"/>
                <w:szCs w:val="20"/>
              </w:rPr>
            </w:pPr>
          </w:p>
        </w:tc>
        <w:tc>
          <w:tcPr>
            <w:tcW w:w="140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0.50</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0.50</w:t>
            </w:r>
          </w:p>
        </w:tc>
        <w:tc>
          <w:tcPr>
            <w:tcW w:w="13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0.50</w:t>
            </w:r>
          </w:p>
        </w:tc>
        <w:tc>
          <w:tcPr>
            <w:tcW w:w="60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6" w:type="dxa"/>
            <w:gridSpan w:val="2"/>
            <w:vMerge w:val="continue"/>
            <w:vAlign w:val="center"/>
          </w:tcPr>
          <w:p>
            <w:pPr>
              <w:widowControl/>
              <w:jc w:val="left"/>
              <w:rPr>
                <w:rFonts w:hint="eastAsia" w:ascii="宋体" w:hAnsi="宋体" w:cs="宋体"/>
                <w:color w:val="000000"/>
                <w:kern w:val="0"/>
                <w:sz w:val="20"/>
                <w:szCs w:val="20"/>
              </w:rPr>
            </w:pPr>
          </w:p>
        </w:tc>
        <w:tc>
          <w:tcPr>
            <w:tcW w:w="140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0.50</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0.50</w:t>
            </w:r>
          </w:p>
        </w:tc>
        <w:tc>
          <w:tcPr>
            <w:tcW w:w="13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0.50</w:t>
            </w:r>
          </w:p>
        </w:tc>
        <w:tc>
          <w:tcPr>
            <w:tcW w:w="60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6" w:type="dxa"/>
            <w:gridSpan w:val="2"/>
            <w:vMerge w:val="continue"/>
            <w:vAlign w:val="center"/>
          </w:tcPr>
          <w:p>
            <w:pPr>
              <w:widowControl/>
              <w:jc w:val="left"/>
              <w:rPr>
                <w:rFonts w:hint="eastAsia" w:ascii="宋体" w:hAnsi="宋体" w:cs="宋体"/>
                <w:color w:val="000000"/>
                <w:kern w:val="0"/>
                <w:sz w:val="20"/>
                <w:szCs w:val="20"/>
              </w:rPr>
            </w:pPr>
          </w:p>
        </w:tc>
        <w:tc>
          <w:tcPr>
            <w:tcW w:w="1403"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1416" w:type="dxa"/>
            <w:shd w:val="clear" w:color="auto" w:fill="auto"/>
            <w:vAlign w:val="center"/>
          </w:tcPr>
          <w:p>
            <w:pPr>
              <w:widowControl/>
              <w:jc w:val="center"/>
              <w:rPr>
                <w:rFonts w:hint="eastAsia" w:ascii="宋体" w:hAnsi="宋体" w:cs="宋体"/>
                <w:color w:val="000000"/>
                <w:kern w:val="0"/>
                <w:sz w:val="20"/>
                <w:szCs w:val="20"/>
              </w:rPr>
            </w:pPr>
            <w:r>
              <w:rPr>
                <w:rFonts w:ascii="宋体" w:hAnsi="宋体" w:cs="宋体"/>
                <w:color w:val="000000"/>
                <w:kern w:val="0"/>
                <w:sz w:val="20"/>
                <w:szCs w:val="20"/>
              </w:rPr>
              <w:t>0.00</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ascii="宋体" w:hAnsi="宋体" w:cs="宋体"/>
                <w:color w:val="000000"/>
                <w:kern w:val="0"/>
                <w:sz w:val="20"/>
                <w:szCs w:val="20"/>
              </w:rPr>
              <w:t>0.00</w:t>
            </w:r>
          </w:p>
        </w:tc>
        <w:tc>
          <w:tcPr>
            <w:tcW w:w="1358" w:type="dxa"/>
            <w:shd w:val="clear" w:color="auto" w:fill="auto"/>
            <w:vAlign w:val="center"/>
          </w:tcPr>
          <w:p>
            <w:pPr>
              <w:widowControl/>
              <w:jc w:val="center"/>
              <w:rPr>
                <w:rFonts w:hint="eastAsia" w:ascii="宋体" w:hAnsi="宋体" w:cs="宋体"/>
                <w:color w:val="000000"/>
                <w:kern w:val="0"/>
                <w:sz w:val="20"/>
                <w:szCs w:val="20"/>
              </w:rPr>
            </w:pPr>
            <w:r>
              <w:rPr>
                <w:rFonts w:ascii="宋体" w:hAnsi="宋体" w:cs="宋体"/>
                <w:color w:val="000000"/>
                <w:kern w:val="0"/>
                <w:sz w:val="20"/>
                <w:szCs w:val="20"/>
              </w:rPr>
              <w:t>0.00</w:t>
            </w:r>
          </w:p>
        </w:tc>
        <w:tc>
          <w:tcPr>
            <w:tcW w:w="60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42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510"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592"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420" w:type="dxa"/>
            <w:vMerge w:val="continue"/>
            <w:vAlign w:val="center"/>
          </w:tcPr>
          <w:p>
            <w:pPr>
              <w:widowControl/>
              <w:jc w:val="left"/>
              <w:rPr>
                <w:rFonts w:hint="eastAsia" w:ascii="宋体" w:hAnsi="宋体" w:cs="宋体"/>
                <w:color w:val="000000"/>
                <w:kern w:val="0"/>
                <w:sz w:val="20"/>
                <w:szCs w:val="20"/>
              </w:rPr>
            </w:pPr>
          </w:p>
        </w:tc>
        <w:tc>
          <w:tcPr>
            <w:tcW w:w="4510"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依据昌州财行（2023）18号文件,我县2023年“无非法集资示范区（村）”由木垒镇迎宾社区创建，目前创建工作正在进行；该资金主要用于版面制作、宣传等，示范区创建后，将作为木垒县唯一示范点。</w:t>
            </w:r>
          </w:p>
        </w:tc>
        <w:tc>
          <w:tcPr>
            <w:tcW w:w="3592" w:type="dxa"/>
            <w:gridSpan w:val="6"/>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我镇完成县2023年“无非法集资示范区（村）”由木垒镇迎宾社区创建，目前创建工作正在进行；该资金主要用于版面制作、宣传等，示范区创建后，将作为木垒县唯一示范点。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2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40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27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35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57"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61"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20"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403" w:type="dxa"/>
            <w:vMerge w:val="continue"/>
            <w:vAlign w:val="center"/>
          </w:tcPr>
          <w:p>
            <w:pPr>
              <w:widowControl/>
              <w:jc w:val="left"/>
              <w:rPr>
                <w:rFonts w:hint="eastAsia" w:ascii="宋体" w:hAnsi="宋体" w:cs="宋体"/>
                <w:color w:val="000000"/>
                <w:kern w:val="0"/>
                <w:sz w:val="20"/>
                <w:szCs w:val="20"/>
              </w:rPr>
            </w:pPr>
          </w:p>
        </w:tc>
        <w:tc>
          <w:tcPr>
            <w:tcW w:w="1416" w:type="dxa"/>
            <w:vMerge w:val="continue"/>
            <w:vAlign w:val="center"/>
          </w:tcPr>
          <w:p>
            <w:pPr>
              <w:widowControl/>
              <w:jc w:val="left"/>
              <w:rPr>
                <w:rFonts w:hint="eastAsia" w:ascii="宋体" w:hAnsi="宋体" w:cs="宋体"/>
                <w:color w:val="000000"/>
                <w:kern w:val="0"/>
                <w:sz w:val="20"/>
                <w:szCs w:val="20"/>
              </w:rPr>
            </w:pPr>
          </w:p>
        </w:tc>
        <w:tc>
          <w:tcPr>
            <w:tcW w:w="1275" w:type="dxa"/>
            <w:vMerge w:val="continue"/>
            <w:vAlign w:val="center"/>
          </w:tcPr>
          <w:p>
            <w:pPr>
              <w:widowControl/>
              <w:jc w:val="left"/>
              <w:rPr>
                <w:rFonts w:hint="eastAsia" w:ascii="宋体" w:hAnsi="宋体" w:cs="宋体"/>
                <w:color w:val="000000"/>
                <w:kern w:val="0"/>
                <w:sz w:val="20"/>
                <w:szCs w:val="20"/>
              </w:rPr>
            </w:pPr>
          </w:p>
        </w:tc>
        <w:tc>
          <w:tcPr>
            <w:tcW w:w="1358" w:type="dxa"/>
            <w:vMerge w:val="continue"/>
            <w:vAlign w:val="center"/>
          </w:tcPr>
          <w:p>
            <w:pPr>
              <w:widowControl/>
              <w:jc w:val="left"/>
              <w:rPr>
                <w:rFonts w:hint="eastAsia" w:ascii="宋体" w:hAnsi="宋体" w:cs="宋体"/>
                <w:color w:val="000000"/>
                <w:kern w:val="0"/>
                <w:sz w:val="20"/>
                <w:szCs w:val="20"/>
              </w:rPr>
            </w:pPr>
          </w:p>
        </w:tc>
        <w:tc>
          <w:tcPr>
            <w:tcW w:w="516" w:type="dxa"/>
            <w:vMerge w:val="continue"/>
            <w:vAlign w:val="center"/>
          </w:tcPr>
          <w:p>
            <w:pPr>
              <w:widowControl/>
              <w:jc w:val="left"/>
              <w:rPr>
                <w:rFonts w:hint="eastAsia" w:ascii="宋体" w:hAnsi="宋体" w:cs="宋体"/>
                <w:color w:val="000000"/>
                <w:kern w:val="0"/>
                <w:sz w:val="20"/>
                <w:szCs w:val="20"/>
              </w:rPr>
            </w:pPr>
          </w:p>
        </w:tc>
        <w:tc>
          <w:tcPr>
            <w:tcW w:w="557" w:type="dxa"/>
            <w:gridSpan w:val="2"/>
            <w:vMerge w:val="continue"/>
            <w:vAlign w:val="center"/>
          </w:tcPr>
          <w:p>
            <w:pPr>
              <w:widowControl/>
              <w:jc w:val="left"/>
              <w:rPr>
                <w:rFonts w:hint="eastAsia" w:ascii="宋体" w:hAnsi="宋体" w:cs="宋体"/>
                <w:color w:val="000000"/>
                <w:kern w:val="0"/>
                <w:sz w:val="20"/>
                <w:szCs w:val="20"/>
              </w:rPr>
            </w:pPr>
          </w:p>
        </w:tc>
        <w:tc>
          <w:tcPr>
            <w:tcW w:w="1161"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2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40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1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涉及镇机关及社区数量</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13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5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6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20"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40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1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制作宣传牌数量</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&gt;=10个</w:t>
            </w:r>
          </w:p>
        </w:tc>
        <w:tc>
          <w:tcPr>
            <w:tcW w:w="13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=10个</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20"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40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1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非法集资宣传次数</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&gt;=10次</w:t>
            </w:r>
          </w:p>
        </w:tc>
        <w:tc>
          <w:tcPr>
            <w:tcW w:w="13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=10次</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20"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40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1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示范社区验收合格率</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3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5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6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20"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40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41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打造示范点计划完成时间</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&lt;=30天</w:t>
            </w:r>
          </w:p>
        </w:tc>
        <w:tc>
          <w:tcPr>
            <w:tcW w:w="13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=30天</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20"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40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41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13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5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6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20"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40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41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5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6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20"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40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41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5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6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20"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40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41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5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6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20"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40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41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受益群众人数</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&gt;=200人</w:t>
            </w:r>
          </w:p>
        </w:tc>
        <w:tc>
          <w:tcPr>
            <w:tcW w:w="13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=200人</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20"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40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41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非法集资政策宣传覆盖率</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3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20"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40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41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5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6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20"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0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1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辖区居民满意度</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3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6288"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5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6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4"/>
        <w:gridCol w:w="535"/>
        <w:gridCol w:w="816"/>
        <w:gridCol w:w="2296"/>
        <w:gridCol w:w="830"/>
        <w:gridCol w:w="837"/>
        <w:gridCol w:w="539"/>
        <w:gridCol w:w="239"/>
        <w:gridCol w:w="499"/>
        <w:gridCol w:w="499"/>
        <w:gridCol w:w="9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8522" w:type="dxa"/>
            <w:gridSpan w:val="11"/>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522" w:type="dxa"/>
            <w:gridSpan w:val="11"/>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101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03" w:type="dxa"/>
            <w:gridSpan w:val="9"/>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“五个好”党支部示范点补助经费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101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42"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木垒县木垒镇政府</w:t>
            </w:r>
          </w:p>
        </w:tc>
        <w:tc>
          <w:tcPr>
            <w:tcW w:w="83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724"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1019"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9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83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7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9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9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1019" w:type="dxa"/>
            <w:gridSpan w:val="2"/>
            <w:vMerge w:val="continue"/>
            <w:vAlign w:val="center"/>
          </w:tcPr>
          <w:p>
            <w:pPr>
              <w:widowControl/>
              <w:jc w:val="left"/>
              <w:rPr>
                <w:rFonts w:hint="eastAsia" w:ascii="宋体" w:hAnsi="宋体" w:cs="宋体"/>
                <w:color w:val="000000"/>
                <w:kern w:val="0"/>
                <w:sz w:val="20"/>
                <w:szCs w:val="20"/>
              </w:rPr>
            </w:pP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229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w:t>
            </w:r>
          </w:p>
        </w:tc>
        <w:tc>
          <w:tcPr>
            <w:tcW w:w="8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w:t>
            </w:r>
          </w:p>
        </w:tc>
        <w:tc>
          <w:tcPr>
            <w:tcW w:w="83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w:t>
            </w:r>
          </w:p>
        </w:tc>
        <w:tc>
          <w:tcPr>
            <w:tcW w:w="77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9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1019" w:type="dxa"/>
            <w:gridSpan w:val="2"/>
            <w:vMerge w:val="continue"/>
            <w:vAlign w:val="center"/>
          </w:tcPr>
          <w:p>
            <w:pPr>
              <w:widowControl/>
              <w:jc w:val="left"/>
              <w:rPr>
                <w:rFonts w:hint="eastAsia" w:ascii="宋体" w:hAnsi="宋体" w:cs="宋体"/>
                <w:color w:val="000000"/>
                <w:kern w:val="0"/>
                <w:sz w:val="20"/>
                <w:szCs w:val="20"/>
              </w:rPr>
            </w:pP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229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w:t>
            </w:r>
          </w:p>
        </w:tc>
        <w:tc>
          <w:tcPr>
            <w:tcW w:w="8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w:t>
            </w:r>
          </w:p>
        </w:tc>
        <w:tc>
          <w:tcPr>
            <w:tcW w:w="83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w:t>
            </w:r>
          </w:p>
        </w:tc>
        <w:tc>
          <w:tcPr>
            <w:tcW w:w="77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9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1019" w:type="dxa"/>
            <w:gridSpan w:val="2"/>
            <w:vMerge w:val="continue"/>
            <w:vAlign w:val="center"/>
          </w:tcPr>
          <w:p>
            <w:pPr>
              <w:widowControl/>
              <w:jc w:val="left"/>
              <w:rPr>
                <w:rFonts w:hint="eastAsia" w:ascii="宋体" w:hAnsi="宋体" w:cs="宋体"/>
                <w:color w:val="000000"/>
                <w:kern w:val="0"/>
                <w:sz w:val="20"/>
                <w:szCs w:val="20"/>
              </w:rPr>
            </w:pPr>
          </w:p>
        </w:tc>
        <w:tc>
          <w:tcPr>
            <w:tcW w:w="816"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2296"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830"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837"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77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9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48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77"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561"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484" w:type="dxa"/>
            <w:vMerge w:val="continue"/>
            <w:vAlign w:val="center"/>
          </w:tcPr>
          <w:p>
            <w:pPr>
              <w:widowControl/>
              <w:jc w:val="left"/>
              <w:rPr>
                <w:rFonts w:hint="eastAsia" w:ascii="宋体" w:hAnsi="宋体" w:cs="宋体"/>
                <w:color w:val="000000"/>
                <w:kern w:val="0"/>
                <w:sz w:val="20"/>
                <w:szCs w:val="20"/>
              </w:rPr>
            </w:pPr>
          </w:p>
        </w:tc>
        <w:tc>
          <w:tcPr>
            <w:tcW w:w="4477"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依据昌州财行（2023）30号文件，我镇阿吾勒社区评选为2022年度村党支部“五个好”党支部范点，示范点的打造可促进基层组织建设学有目标、赶有方向，深化宣传推广，营造良好氛围。</w:t>
            </w:r>
          </w:p>
        </w:tc>
        <w:tc>
          <w:tcPr>
            <w:tcW w:w="3561" w:type="dxa"/>
            <w:gridSpan w:val="6"/>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本项目已完成如下工作：阿吾勒社区评选为2022年度村党支部“五个好”党支部范点，示范点的打造可促进基层组织建设学有目标、赶有方向，深化宣传推广，营造良好氛围。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8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8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29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3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3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39"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38"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447"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84" w:type="dxa"/>
            <w:vMerge w:val="continue"/>
            <w:vAlign w:val="center"/>
          </w:tcPr>
          <w:p>
            <w:pPr>
              <w:widowControl/>
              <w:jc w:val="left"/>
              <w:rPr>
                <w:rFonts w:hint="eastAsia" w:ascii="宋体" w:hAnsi="宋体" w:cs="宋体"/>
                <w:color w:val="000000"/>
                <w:kern w:val="0"/>
                <w:sz w:val="20"/>
                <w:szCs w:val="20"/>
              </w:rPr>
            </w:pPr>
          </w:p>
        </w:tc>
        <w:tc>
          <w:tcPr>
            <w:tcW w:w="535" w:type="dxa"/>
            <w:vMerge w:val="continue"/>
            <w:vAlign w:val="center"/>
          </w:tcPr>
          <w:p>
            <w:pPr>
              <w:widowControl/>
              <w:jc w:val="left"/>
              <w:rPr>
                <w:rFonts w:hint="eastAsia" w:ascii="宋体" w:hAnsi="宋体" w:cs="宋体"/>
                <w:color w:val="000000"/>
                <w:kern w:val="0"/>
                <w:sz w:val="20"/>
                <w:szCs w:val="20"/>
              </w:rPr>
            </w:pPr>
          </w:p>
        </w:tc>
        <w:tc>
          <w:tcPr>
            <w:tcW w:w="816" w:type="dxa"/>
            <w:vMerge w:val="continue"/>
            <w:vAlign w:val="center"/>
          </w:tcPr>
          <w:p>
            <w:pPr>
              <w:widowControl/>
              <w:jc w:val="left"/>
              <w:rPr>
                <w:rFonts w:hint="eastAsia" w:ascii="宋体" w:hAnsi="宋体" w:cs="宋体"/>
                <w:color w:val="000000"/>
                <w:kern w:val="0"/>
                <w:sz w:val="20"/>
                <w:szCs w:val="20"/>
              </w:rPr>
            </w:pPr>
          </w:p>
        </w:tc>
        <w:tc>
          <w:tcPr>
            <w:tcW w:w="2296" w:type="dxa"/>
            <w:vMerge w:val="continue"/>
            <w:vAlign w:val="center"/>
          </w:tcPr>
          <w:p>
            <w:pPr>
              <w:widowControl/>
              <w:jc w:val="left"/>
              <w:rPr>
                <w:rFonts w:hint="eastAsia" w:ascii="宋体" w:hAnsi="宋体" w:cs="宋体"/>
                <w:color w:val="000000"/>
                <w:kern w:val="0"/>
                <w:sz w:val="20"/>
                <w:szCs w:val="20"/>
              </w:rPr>
            </w:pPr>
          </w:p>
        </w:tc>
        <w:tc>
          <w:tcPr>
            <w:tcW w:w="830" w:type="dxa"/>
            <w:vMerge w:val="continue"/>
            <w:vAlign w:val="center"/>
          </w:tcPr>
          <w:p>
            <w:pPr>
              <w:widowControl/>
              <w:jc w:val="left"/>
              <w:rPr>
                <w:rFonts w:hint="eastAsia" w:ascii="宋体" w:hAnsi="宋体" w:cs="宋体"/>
                <w:color w:val="000000"/>
                <w:kern w:val="0"/>
                <w:sz w:val="20"/>
                <w:szCs w:val="20"/>
              </w:rPr>
            </w:pPr>
          </w:p>
        </w:tc>
        <w:tc>
          <w:tcPr>
            <w:tcW w:w="837" w:type="dxa"/>
            <w:vMerge w:val="continue"/>
            <w:vAlign w:val="center"/>
          </w:tcPr>
          <w:p>
            <w:pPr>
              <w:widowControl/>
              <w:jc w:val="left"/>
              <w:rPr>
                <w:rFonts w:hint="eastAsia" w:ascii="宋体" w:hAnsi="宋体" w:cs="宋体"/>
                <w:color w:val="000000"/>
                <w:kern w:val="0"/>
                <w:sz w:val="20"/>
                <w:szCs w:val="20"/>
              </w:rPr>
            </w:pPr>
          </w:p>
        </w:tc>
        <w:tc>
          <w:tcPr>
            <w:tcW w:w="539" w:type="dxa"/>
            <w:vMerge w:val="continue"/>
            <w:vAlign w:val="center"/>
          </w:tcPr>
          <w:p>
            <w:pPr>
              <w:widowControl/>
              <w:jc w:val="left"/>
              <w:rPr>
                <w:rFonts w:hint="eastAsia" w:ascii="宋体" w:hAnsi="宋体" w:cs="宋体"/>
                <w:color w:val="000000"/>
                <w:kern w:val="0"/>
                <w:sz w:val="20"/>
                <w:szCs w:val="20"/>
              </w:rPr>
            </w:pPr>
          </w:p>
        </w:tc>
        <w:tc>
          <w:tcPr>
            <w:tcW w:w="738" w:type="dxa"/>
            <w:gridSpan w:val="2"/>
            <w:vMerge w:val="continue"/>
            <w:vAlign w:val="center"/>
          </w:tcPr>
          <w:p>
            <w:pPr>
              <w:widowControl/>
              <w:jc w:val="left"/>
              <w:rPr>
                <w:rFonts w:hint="eastAsia" w:ascii="宋体" w:hAnsi="宋体" w:cs="宋体"/>
                <w:color w:val="000000"/>
                <w:kern w:val="0"/>
                <w:sz w:val="20"/>
                <w:szCs w:val="20"/>
              </w:rPr>
            </w:pPr>
          </w:p>
        </w:tc>
        <w:tc>
          <w:tcPr>
            <w:tcW w:w="1447"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8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3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29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示范点打造数量</w:t>
            </w:r>
          </w:p>
        </w:tc>
        <w:tc>
          <w:tcPr>
            <w:tcW w:w="8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83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53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4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84" w:type="dxa"/>
            <w:vMerge w:val="continue"/>
            <w:vAlign w:val="center"/>
          </w:tcPr>
          <w:p>
            <w:pPr>
              <w:widowControl/>
              <w:jc w:val="left"/>
              <w:rPr>
                <w:rFonts w:hint="eastAsia" w:ascii="宋体" w:hAnsi="宋体" w:cs="宋体"/>
                <w:color w:val="000000"/>
                <w:kern w:val="0"/>
                <w:sz w:val="20"/>
                <w:szCs w:val="20"/>
              </w:rPr>
            </w:pPr>
          </w:p>
        </w:tc>
        <w:tc>
          <w:tcPr>
            <w:tcW w:w="535" w:type="dxa"/>
            <w:vMerge w:val="continue"/>
            <w:vAlign w:val="center"/>
          </w:tcPr>
          <w:p>
            <w:pPr>
              <w:widowControl/>
              <w:jc w:val="left"/>
              <w:rPr>
                <w:rFonts w:hint="eastAsia" w:ascii="宋体" w:hAnsi="宋体" w:cs="宋体"/>
                <w:color w:val="000000"/>
                <w:kern w:val="0"/>
                <w:sz w:val="20"/>
                <w:szCs w:val="20"/>
              </w:rPr>
            </w:pP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29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示范点打造达标率</w:t>
            </w:r>
          </w:p>
        </w:tc>
        <w:tc>
          <w:tcPr>
            <w:tcW w:w="8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3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3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4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84" w:type="dxa"/>
            <w:vMerge w:val="continue"/>
            <w:vAlign w:val="center"/>
          </w:tcPr>
          <w:p>
            <w:pPr>
              <w:widowControl/>
              <w:jc w:val="left"/>
              <w:rPr>
                <w:rFonts w:hint="eastAsia" w:ascii="宋体" w:hAnsi="宋体" w:cs="宋体"/>
                <w:color w:val="000000"/>
                <w:kern w:val="0"/>
                <w:sz w:val="20"/>
                <w:szCs w:val="20"/>
              </w:rPr>
            </w:pPr>
          </w:p>
        </w:tc>
        <w:tc>
          <w:tcPr>
            <w:tcW w:w="535" w:type="dxa"/>
            <w:vMerge w:val="continue"/>
            <w:vAlign w:val="center"/>
          </w:tcPr>
          <w:p>
            <w:pPr>
              <w:widowControl/>
              <w:jc w:val="left"/>
              <w:rPr>
                <w:rFonts w:hint="eastAsia" w:ascii="宋体" w:hAnsi="宋体" w:cs="宋体"/>
                <w:color w:val="000000"/>
                <w:kern w:val="0"/>
                <w:sz w:val="20"/>
                <w:szCs w:val="20"/>
              </w:rPr>
            </w:pP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29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牌匾制作合格率</w:t>
            </w:r>
          </w:p>
        </w:tc>
        <w:tc>
          <w:tcPr>
            <w:tcW w:w="8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3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3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4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84" w:type="dxa"/>
            <w:vMerge w:val="continue"/>
            <w:vAlign w:val="center"/>
          </w:tcPr>
          <w:p>
            <w:pPr>
              <w:widowControl/>
              <w:jc w:val="left"/>
              <w:rPr>
                <w:rFonts w:hint="eastAsia" w:ascii="宋体" w:hAnsi="宋体" w:cs="宋体"/>
                <w:color w:val="000000"/>
                <w:kern w:val="0"/>
                <w:sz w:val="20"/>
                <w:szCs w:val="20"/>
              </w:rPr>
            </w:pPr>
          </w:p>
        </w:tc>
        <w:tc>
          <w:tcPr>
            <w:tcW w:w="535" w:type="dxa"/>
            <w:vMerge w:val="continue"/>
            <w:vAlign w:val="center"/>
          </w:tcPr>
          <w:p>
            <w:pPr>
              <w:widowControl/>
              <w:jc w:val="left"/>
              <w:rPr>
                <w:rFonts w:hint="eastAsia" w:ascii="宋体" w:hAnsi="宋体" w:cs="宋体"/>
                <w:color w:val="000000"/>
                <w:kern w:val="0"/>
                <w:sz w:val="20"/>
                <w:szCs w:val="20"/>
              </w:rPr>
            </w:pP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29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示范点打造完成及时率</w:t>
            </w:r>
          </w:p>
        </w:tc>
        <w:tc>
          <w:tcPr>
            <w:tcW w:w="8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3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3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4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84" w:type="dxa"/>
            <w:vMerge w:val="continue"/>
            <w:vAlign w:val="center"/>
          </w:tcPr>
          <w:p>
            <w:pPr>
              <w:widowControl/>
              <w:jc w:val="left"/>
              <w:rPr>
                <w:rFonts w:hint="eastAsia" w:ascii="宋体" w:hAnsi="宋体" w:cs="宋体"/>
                <w:color w:val="000000"/>
                <w:kern w:val="0"/>
                <w:sz w:val="20"/>
                <w:szCs w:val="20"/>
              </w:rPr>
            </w:pPr>
          </w:p>
        </w:tc>
        <w:tc>
          <w:tcPr>
            <w:tcW w:w="53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29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维修成本</w:t>
            </w:r>
          </w:p>
        </w:tc>
        <w:tc>
          <w:tcPr>
            <w:tcW w:w="8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&lt;=2万元</w:t>
            </w:r>
          </w:p>
        </w:tc>
        <w:tc>
          <w:tcPr>
            <w:tcW w:w="83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=2万元</w:t>
            </w:r>
          </w:p>
        </w:tc>
        <w:tc>
          <w:tcPr>
            <w:tcW w:w="53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4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84" w:type="dxa"/>
            <w:vMerge w:val="continue"/>
            <w:vAlign w:val="center"/>
          </w:tcPr>
          <w:p>
            <w:pPr>
              <w:widowControl/>
              <w:jc w:val="left"/>
              <w:rPr>
                <w:rFonts w:hint="eastAsia" w:ascii="宋体" w:hAnsi="宋体" w:cs="宋体"/>
                <w:color w:val="000000"/>
                <w:kern w:val="0"/>
                <w:sz w:val="20"/>
                <w:szCs w:val="20"/>
              </w:rPr>
            </w:pPr>
          </w:p>
        </w:tc>
        <w:tc>
          <w:tcPr>
            <w:tcW w:w="535" w:type="dxa"/>
            <w:vMerge w:val="continue"/>
            <w:vAlign w:val="center"/>
          </w:tcPr>
          <w:p>
            <w:pPr>
              <w:widowControl/>
              <w:jc w:val="left"/>
              <w:rPr>
                <w:rFonts w:hint="eastAsia" w:ascii="宋体" w:hAnsi="宋体" w:cs="宋体"/>
                <w:color w:val="000000"/>
                <w:kern w:val="0"/>
                <w:sz w:val="20"/>
                <w:szCs w:val="20"/>
              </w:rPr>
            </w:pP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29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牌匾制作成本</w:t>
            </w:r>
          </w:p>
        </w:tc>
        <w:tc>
          <w:tcPr>
            <w:tcW w:w="8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&lt;=1万元</w:t>
            </w:r>
          </w:p>
        </w:tc>
        <w:tc>
          <w:tcPr>
            <w:tcW w:w="83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=1万元</w:t>
            </w:r>
          </w:p>
        </w:tc>
        <w:tc>
          <w:tcPr>
            <w:tcW w:w="53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4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84" w:type="dxa"/>
            <w:vMerge w:val="continue"/>
            <w:vAlign w:val="center"/>
          </w:tcPr>
          <w:p>
            <w:pPr>
              <w:widowControl/>
              <w:jc w:val="left"/>
              <w:rPr>
                <w:rFonts w:hint="eastAsia" w:ascii="宋体" w:hAnsi="宋体" w:cs="宋体"/>
                <w:color w:val="000000"/>
                <w:kern w:val="0"/>
                <w:sz w:val="20"/>
                <w:szCs w:val="20"/>
              </w:rPr>
            </w:pPr>
          </w:p>
        </w:tc>
        <w:tc>
          <w:tcPr>
            <w:tcW w:w="535" w:type="dxa"/>
            <w:vMerge w:val="continue"/>
            <w:vAlign w:val="center"/>
          </w:tcPr>
          <w:p>
            <w:pPr>
              <w:widowControl/>
              <w:jc w:val="left"/>
              <w:rPr>
                <w:rFonts w:hint="eastAsia" w:ascii="宋体" w:hAnsi="宋体" w:cs="宋体"/>
                <w:color w:val="000000"/>
                <w:kern w:val="0"/>
                <w:sz w:val="20"/>
                <w:szCs w:val="20"/>
              </w:rPr>
            </w:pP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29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4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84" w:type="dxa"/>
            <w:vMerge w:val="continue"/>
            <w:vAlign w:val="center"/>
          </w:tcPr>
          <w:p>
            <w:pPr>
              <w:widowControl/>
              <w:jc w:val="left"/>
              <w:rPr>
                <w:rFonts w:hint="eastAsia" w:ascii="宋体" w:hAnsi="宋体" w:cs="宋体"/>
                <w:color w:val="000000"/>
                <w:kern w:val="0"/>
                <w:sz w:val="20"/>
                <w:szCs w:val="20"/>
              </w:rPr>
            </w:pPr>
          </w:p>
        </w:tc>
        <w:tc>
          <w:tcPr>
            <w:tcW w:w="535" w:type="dxa"/>
            <w:vMerge w:val="continue"/>
            <w:vAlign w:val="center"/>
          </w:tcPr>
          <w:p>
            <w:pPr>
              <w:widowControl/>
              <w:jc w:val="left"/>
              <w:rPr>
                <w:rFonts w:hint="eastAsia" w:ascii="宋体" w:hAnsi="宋体" w:cs="宋体"/>
                <w:color w:val="000000"/>
                <w:kern w:val="0"/>
                <w:sz w:val="20"/>
                <w:szCs w:val="20"/>
              </w:rPr>
            </w:pP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29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4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84" w:type="dxa"/>
            <w:vMerge w:val="continue"/>
            <w:vAlign w:val="center"/>
          </w:tcPr>
          <w:p>
            <w:pPr>
              <w:widowControl/>
              <w:jc w:val="left"/>
              <w:rPr>
                <w:rFonts w:hint="eastAsia" w:ascii="宋体" w:hAnsi="宋体" w:cs="宋体"/>
                <w:color w:val="000000"/>
                <w:kern w:val="0"/>
                <w:sz w:val="20"/>
                <w:szCs w:val="20"/>
              </w:rPr>
            </w:pPr>
          </w:p>
        </w:tc>
        <w:tc>
          <w:tcPr>
            <w:tcW w:w="53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29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4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84" w:type="dxa"/>
            <w:vMerge w:val="continue"/>
            <w:vAlign w:val="center"/>
          </w:tcPr>
          <w:p>
            <w:pPr>
              <w:widowControl/>
              <w:jc w:val="left"/>
              <w:rPr>
                <w:rFonts w:hint="eastAsia" w:ascii="宋体" w:hAnsi="宋体" w:cs="宋体"/>
                <w:color w:val="000000"/>
                <w:kern w:val="0"/>
                <w:sz w:val="20"/>
                <w:szCs w:val="20"/>
              </w:rPr>
            </w:pPr>
          </w:p>
        </w:tc>
        <w:tc>
          <w:tcPr>
            <w:tcW w:w="535" w:type="dxa"/>
            <w:vMerge w:val="continue"/>
            <w:vAlign w:val="center"/>
          </w:tcPr>
          <w:p>
            <w:pPr>
              <w:widowControl/>
              <w:jc w:val="left"/>
              <w:rPr>
                <w:rFonts w:hint="eastAsia" w:ascii="宋体" w:hAnsi="宋体" w:cs="宋体"/>
                <w:color w:val="000000"/>
                <w:kern w:val="0"/>
                <w:sz w:val="20"/>
                <w:szCs w:val="20"/>
              </w:rPr>
            </w:pP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29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受益群众人数</w:t>
            </w:r>
          </w:p>
        </w:tc>
        <w:tc>
          <w:tcPr>
            <w:tcW w:w="8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&gt;=500人</w:t>
            </w:r>
          </w:p>
        </w:tc>
        <w:tc>
          <w:tcPr>
            <w:tcW w:w="83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=500人</w:t>
            </w:r>
          </w:p>
        </w:tc>
        <w:tc>
          <w:tcPr>
            <w:tcW w:w="53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3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44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84" w:type="dxa"/>
            <w:vMerge w:val="continue"/>
            <w:vAlign w:val="center"/>
          </w:tcPr>
          <w:p>
            <w:pPr>
              <w:widowControl/>
              <w:jc w:val="left"/>
              <w:rPr>
                <w:rFonts w:hint="eastAsia" w:ascii="宋体" w:hAnsi="宋体" w:cs="宋体"/>
                <w:color w:val="000000"/>
                <w:kern w:val="0"/>
                <w:sz w:val="20"/>
                <w:szCs w:val="20"/>
              </w:rPr>
            </w:pPr>
          </w:p>
        </w:tc>
        <w:tc>
          <w:tcPr>
            <w:tcW w:w="535" w:type="dxa"/>
            <w:vMerge w:val="continue"/>
            <w:vAlign w:val="center"/>
          </w:tcPr>
          <w:p>
            <w:pPr>
              <w:widowControl/>
              <w:jc w:val="left"/>
              <w:rPr>
                <w:rFonts w:hint="eastAsia" w:ascii="宋体" w:hAnsi="宋体" w:cs="宋体"/>
                <w:color w:val="000000"/>
                <w:kern w:val="0"/>
                <w:sz w:val="20"/>
                <w:szCs w:val="20"/>
              </w:rPr>
            </w:pP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29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4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84" w:type="dxa"/>
            <w:vMerge w:val="continue"/>
            <w:vAlign w:val="center"/>
          </w:tcPr>
          <w:p>
            <w:pPr>
              <w:widowControl/>
              <w:jc w:val="left"/>
              <w:rPr>
                <w:rFonts w:hint="eastAsia" w:ascii="宋体" w:hAnsi="宋体" w:cs="宋体"/>
                <w:color w:val="000000"/>
                <w:kern w:val="0"/>
                <w:sz w:val="20"/>
                <w:szCs w:val="20"/>
              </w:rPr>
            </w:pPr>
          </w:p>
        </w:tc>
        <w:tc>
          <w:tcPr>
            <w:tcW w:w="5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29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群众满意度</w:t>
            </w:r>
          </w:p>
        </w:tc>
        <w:tc>
          <w:tcPr>
            <w:tcW w:w="8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3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3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4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5798"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3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44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45"/>
        <w:gridCol w:w="683"/>
        <w:gridCol w:w="2616"/>
        <w:gridCol w:w="1050"/>
        <w:gridCol w:w="925"/>
        <w:gridCol w:w="516"/>
        <w:gridCol w:w="174"/>
        <w:gridCol w:w="462"/>
        <w:gridCol w:w="457"/>
        <w:gridCol w:w="7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8522" w:type="dxa"/>
            <w:gridSpan w:val="11"/>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522" w:type="dxa"/>
            <w:gridSpan w:val="11"/>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6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61" w:type="dxa"/>
            <w:gridSpan w:val="9"/>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2022年度乡镇专职联防员生活补助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6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349"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木垒县木垒镇政府</w:t>
            </w:r>
          </w:p>
        </w:tc>
        <w:tc>
          <w:tcPr>
            <w:tcW w:w="92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87"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861"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68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6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0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2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9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7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61" w:type="dxa"/>
            <w:gridSpan w:val="2"/>
            <w:vMerge w:val="continue"/>
            <w:vAlign w:val="center"/>
          </w:tcPr>
          <w:p>
            <w:pPr>
              <w:widowControl/>
              <w:jc w:val="left"/>
              <w:rPr>
                <w:rFonts w:hint="eastAsia" w:ascii="宋体" w:hAnsi="宋体" w:cs="宋体"/>
                <w:color w:val="000000"/>
                <w:kern w:val="0"/>
                <w:sz w:val="20"/>
                <w:szCs w:val="20"/>
              </w:rPr>
            </w:pPr>
          </w:p>
        </w:tc>
        <w:tc>
          <w:tcPr>
            <w:tcW w:w="68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26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13.69</w:t>
            </w:r>
          </w:p>
        </w:tc>
        <w:tc>
          <w:tcPr>
            <w:tcW w:w="10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13.69</w:t>
            </w:r>
          </w:p>
        </w:tc>
        <w:tc>
          <w:tcPr>
            <w:tcW w:w="92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13.69</w:t>
            </w:r>
          </w:p>
        </w:tc>
        <w:tc>
          <w:tcPr>
            <w:tcW w:w="69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7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61" w:type="dxa"/>
            <w:gridSpan w:val="2"/>
            <w:vMerge w:val="continue"/>
            <w:vAlign w:val="center"/>
          </w:tcPr>
          <w:p>
            <w:pPr>
              <w:widowControl/>
              <w:jc w:val="left"/>
              <w:rPr>
                <w:rFonts w:hint="eastAsia" w:ascii="宋体" w:hAnsi="宋体" w:cs="宋体"/>
                <w:color w:val="000000"/>
                <w:kern w:val="0"/>
                <w:sz w:val="20"/>
                <w:szCs w:val="20"/>
              </w:rPr>
            </w:pPr>
          </w:p>
        </w:tc>
        <w:tc>
          <w:tcPr>
            <w:tcW w:w="68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26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13.69</w:t>
            </w:r>
          </w:p>
        </w:tc>
        <w:tc>
          <w:tcPr>
            <w:tcW w:w="10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13.69</w:t>
            </w:r>
          </w:p>
        </w:tc>
        <w:tc>
          <w:tcPr>
            <w:tcW w:w="92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13.69</w:t>
            </w:r>
          </w:p>
        </w:tc>
        <w:tc>
          <w:tcPr>
            <w:tcW w:w="69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7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61" w:type="dxa"/>
            <w:gridSpan w:val="2"/>
            <w:vMerge w:val="continue"/>
            <w:vAlign w:val="center"/>
          </w:tcPr>
          <w:p>
            <w:pPr>
              <w:widowControl/>
              <w:jc w:val="left"/>
              <w:rPr>
                <w:rFonts w:hint="eastAsia" w:ascii="宋体" w:hAnsi="宋体" w:cs="宋体"/>
                <w:color w:val="000000"/>
                <w:kern w:val="0"/>
                <w:sz w:val="20"/>
                <w:szCs w:val="20"/>
              </w:rPr>
            </w:pPr>
          </w:p>
        </w:tc>
        <w:tc>
          <w:tcPr>
            <w:tcW w:w="683"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2616"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050"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925"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69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7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794"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12"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794"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依据木财预字【2023】34号文件要求，计划使用2022年度专制联防员补助经费为木垒镇20名专制联防员发放专制联防员工作补助，提高专制联防员工作的积极性，确保各社区工作顺利开展，促进社会持续稳定。</w:t>
            </w:r>
          </w:p>
        </w:tc>
        <w:tc>
          <w:tcPr>
            <w:tcW w:w="3312" w:type="dxa"/>
            <w:gridSpan w:val="6"/>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本项目已完成如下工作：完成2022年度专制联防员补助经费为木垒镇20名专制联防员发放专制联防员工作补助，提高专制联防员工作的积极性，确保各社区工作顺利开展，促进社会持续稳定。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4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8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6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05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92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636"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235"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45" w:type="dxa"/>
            <w:vMerge w:val="continue"/>
            <w:vAlign w:val="center"/>
          </w:tcPr>
          <w:p>
            <w:pPr>
              <w:widowControl/>
              <w:jc w:val="left"/>
              <w:rPr>
                <w:rFonts w:hint="eastAsia" w:ascii="宋体" w:hAnsi="宋体" w:cs="宋体"/>
                <w:color w:val="000000"/>
                <w:kern w:val="0"/>
                <w:sz w:val="20"/>
                <w:szCs w:val="20"/>
              </w:rPr>
            </w:pPr>
          </w:p>
        </w:tc>
        <w:tc>
          <w:tcPr>
            <w:tcW w:w="683" w:type="dxa"/>
            <w:vMerge w:val="continue"/>
            <w:vAlign w:val="center"/>
          </w:tcPr>
          <w:p>
            <w:pPr>
              <w:widowControl/>
              <w:jc w:val="left"/>
              <w:rPr>
                <w:rFonts w:hint="eastAsia" w:ascii="宋体" w:hAnsi="宋体" w:cs="宋体"/>
                <w:color w:val="000000"/>
                <w:kern w:val="0"/>
                <w:sz w:val="20"/>
                <w:szCs w:val="20"/>
              </w:rPr>
            </w:pPr>
          </w:p>
        </w:tc>
        <w:tc>
          <w:tcPr>
            <w:tcW w:w="2616" w:type="dxa"/>
            <w:vMerge w:val="continue"/>
            <w:vAlign w:val="center"/>
          </w:tcPr>
          <w:p>
            <w:pPr>
              <w:widowControl/>
              <w:jc w:val="left"/>
              <w:rPr>
                <w:rFonts w:hint="eastAsia" w:ascii="宋体" w:hAnsi="宋体" w:cs="宋体"/>
                <w:color w:val="000000"/>
                <w:kern w:val="0"/>
                <w:sz w:val="20"/>
                <w:szCs w:val="20"/>
              </w:rPr>
            </w:pPr>
          </w:p>
        </w:tc>
        <w:tc>
          <w:tcPr>
            <w:tcW w:w="1050" w:type="dxa"/>
            <w:vMerge w:val="continue"/>
            <w:vAlign w:val="center"/>
          </w:tcPr>
          <w:p>
            <w:pPr>
              <w:widowControl/>
              <w:jc w:val="left"/>
              <w:rPr>
                <w:rFonts w:hint="eastAsia" w:ascii="宋体" w:hAnsi="宋体" w:cs="宋体"/>
                <w:color w:val="000000"/>
                <w:kern w:val="0"/>
                <w:sz w:val="20"/>
                <w:szCs w:val="20"/>
              </w:rPr>
            </w:pPr>
          </w:p>
        </w:tc>
        <w:tc>
          <w:tcPr>
            <w:tcW w:w="925" w:type="dxa"/>
            <w:vMerge w:val="continue"/>
            <w:vAlign w:val="center"/>
          </w:tcPr>
          <w:p>
            <w:pPr>
              <w:widowControl/>
              <w:jc w:val="left"/>
              <w:rPr>
                <w:rFonts w:hint="eastAsia" w:ascii="宋体" w:hAnsi="宋体" w:cs="宋体"/>
                <w:color w:val="000000"/>
                <w:kern w:val="0"/>
                <w:sz w:val="20"/>
                <w:szCs w:val="20"/>
              </w:rPr>
            </w:pPr>
          </w:p>
        </w:tc>
        <w:tc>
          <w:tcPr>
            <w:tcW w:w="516" w:type="dxa"/>
            <w:vMerge w:val="continue"/>
            <w:vAlign w:val="center"/>
          </w:tcPr>
          <w:p>
            <w:pPr>
              <w:widowControl/>
              <w:jc w:val="left"/>
              <w:rPr>
                <w:rFonts w:hint="eastAsia" w:ascii="宋体" w:hAnsi="宋体" w:cs="宋体"/>
                <w:color w:val="000000"/>
                <w:kern w:val="0"/>
                <w:sz w:val="20"/>
                <w:szCs w:val="20"/>
              </w:rPr>
            </w:pPr>
          </w:p>
        </w:tc>
        <w:tc>
          <w:tcPr>
            <w:tcW w:w="636" w:type="dxa"/>
            <w:gridSpan w:val="2"/>
            <w:vMerge w:val="continue"/>
            <w:vAlign w:val="center"/>
          </w:tcPr>
          <w:p>
            <w:pPr>
              <w:widowControl/>
              <w:jc w:val="left"/>
              <w:rPr>
                <w:rFonts w:hint="eastAsia" w:ascii="宋体" w:hAnsi="宋体" w:cs="宋体"/>
                <w:color w:val="000000"/>
                <w:kern w:val="0"/>
                <w:sz w:val="20"/>
                <w:szCs w:val="20"/>
              </w:rPr>
            </w:pPr>
          </w:p>
        </w:tc>
        <w:tc>
          <w:tcPr>
            <w:tcW w:w="1235"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4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8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61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涉及社区数量</w:t>
            </w:r>
          </w:p>
        </w:tc>
        <w:tc>
          <w:tcPr>
            <w:tcW w:w="10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&gt;=7个</w:t>
            </w:r>
          </w:p>
        </w:tc>
        <w:tc>
          <w:tcPr>
            <w:tcW w:w="92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=7个</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3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3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45" w:type="dxa"/>
            <w:vMerge w:val="continue"/>
            <w:vAlign w:val="center"/>
          </w:tcPr>
          <w:p>
            <w:pPr>
              <w:widowControl/>
              <w:jc w:val="left"/>
              <w:rPr>
                <w:rFonts w:hint="eastAsia" w:ascii="宋体" w:hAnsi="宋体" w:cs="宋体"/>
                <w:color w:val="000000"/>
                <w:kern w:val="0"/>
                <w:sz w:val="20"/>
                <w:szCs w:val="20"/>
              </w:rPr>
            </w:pPr>
          </w:p>
        </w:tc>
        <w:tc>
          <w:tcPr>
            <w:tcW w:w="68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61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发放补助专制联防员人数</w:t>
            </w:r>
          </w:p>
        </w:tc>
        <w:tc>
          <w:tcPr>
            <w:tcW w:w="10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2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3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3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45" w:type="dxa"/>
            <w:vMerge w:val="continue"/>
            <w:vAlign w:val="center"/>
          </w:tcPr>
          <w:p>
            <w:pPr>
              <w:widowControl/>
              <w:jc w:val="left"/>
              <w:rPr>
                <w:rFonts w:hint="eastAsia" w:ascii="宋体" w:hAnsi="宋体" w:cs="宋体"/>
                <w:color w:val="000000"/>
                <w:kern w:val="0"/>
                <w:sz w:val="20"/>
                <w:szCs w:val="20"/>
              </w:rPr>
            </w:pPr>
          </w:p>
        </w:tc>
        <w:tc>
          <w:tcPr>
            <w:tcW w:w="68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61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补助资金发放率</w:t>
            </w:r>
          </w:p>
        </w:tc>
        <w:tc>
          <w:tcPr>
            <w:tcW w:w="10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2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3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3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45" w:type="dxa"/>
            <w:vMerge w:val="continue"/>
            <w:vAlign w:val="center"/>
          </w:tcPr>
          <w:p>
            <w:pPr>
              <w:widowControl/>
              <w:jc w:val="left"/>
              <w:rPr>
                <w:rFonts w:hint="eastAsia" w:ascii="宋体" w:hAnsi="宋体" w:cs="宋体"/>
                <w:color w:val="000000"/>
                <w:kern w:val="0"/>
                <w:sz w:val="20"/>
                <w:szCs w:val="20"/>
              </w:rPr>
            </w:pPr>
          </w:p>
        </w:tc>
        <w:tc>
          <w:tcPr>
            <w:tcW w:w="68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61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10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2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3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3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4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8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61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专职联防元补助标准</w:t>
            </w:r>
          </w:p>
        </w:tc>
        <w:tc>
          <w:tcPr>
            <w:tcW w:w="10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&lt;=9485元/人</w:t>
            </w:r>
          </w:p>
        </w:tc>
        <w:tc>
          <w:tcPr>
            <w:tcW w:w="92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=9485元/人</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3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3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45" w:type="dxa"/>
            <w:vMerge w:val="continue"/>
            <w:vAlign w:val="center"/>
          </w:tcPr>
          <w:p>
            <w:pPr>
              <w:widowControl/>
              <w:jc w:val="left"/>
              <w:rPr>
                <w:rFonts w:hint="eastAsia" w:ascii="宋体" w:hAnsi="宋体" w:cs="宋体"/>
                <w:color w:val="000000"/>
                <w:kern w:val="0"/>
                <w:sz w:val="20"/>
                <w:szCs w:val="20"/>
              </w:rPr>
            </w:pPr>
          </w:p>
        </w:tc>
        <w:tc>
          <w:tcPr>
            <w:tcW w:w="68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61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2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3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3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45" w:type="dxa"/>
            <w:vMerge w:val="continue"/>
            <w:vAlign w:val="center"/>
          </w:tcPr>
          <w:p>
            <w:pPr>
              <w:widowControl/>
              <w:jc w:val="left"/>
              <w:rPr>
                <w:rFonts w:hint="eastAsia" w:ascii="宋体" w:hAnsi="宋体" w:cs="宋体"/>
                <w:color w:val="000000"/>
                <w:kern w:val="0"/>
                <w:sz w:val="20"/>
                <w:szCs w:val="20"/>
              </w:rPr>
            </w:pPr>
          </w:p>
        </w:tc>
        <w:tc>
          <w:tcPr>
            <w:tcW w:w="68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61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2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3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3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4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8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61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2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3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3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45" w:type="dxa"/>
            <w:vMerge w:val="continue"/>
            <w:vAlign w:val="center"/>
          </w:tcPr>
          <w:p>
            <w:pPr>
              <w:widowControl/>
              <w:jc w:val="left"/>
              <w:rPr>
                <w:rFonts w:hint="eastAsia" w:ascii="宋体" w:hAnsi="宋体" w:cs="宋体"/>
                <w:color w:val="000000"/>
                <w:kern w:val="0"/>
                <w:sz w:val="20"/>
                <w:szCs w:val="20"/>
              </w:rPr>
            </w:pPr>
          </w:p>
        </w:tc>
        <w:tc>
          <w:tcPr>
            <w:tcW w:w="68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61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居民对联防工作投诉率</w:t>
            </w:r>
          </w:p>
        </w:tc>
        <w:tc>
          <w:tcPr>
            <w:tcW w:w="10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&lt;=0%</w:t>
            </w:r>
          </w:p>
        </w:tc>
        <w:tc>
          <w:tcPr>
            <w:tcW w:w="92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3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3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45" w:type="dxa"/>
            <w:vMerge w:val="continue"/>
            <w:vAlign w:val="center"/>
          </w:tcPr>
          <w:p>
            <w:pPr>
              <w:widowControl/>
              <w:jc w:val="left"/>
              <w:rPr>
                <w:rFonts w:hint="eastAsia" w:ascii="宋体" w:hAnsi="宋体" w:cs="宋体"/>
                <w:color w:val="000000"/>
                <w:kern w:val="0"/>
                <w:sz w:val="20"/>
                <w:szCs w:val="20"/>
              </w:rPr>
            </w:pPr>
          </w:p>
        </w:tc>
        <w:tc>
          <w:tcPr>
            <w:tcW w:w="68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61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专职联防员工作正常运转率</w:t>
            </w:r>
          </w:p>
        </w:tc>
        <w:tc>
          <w:tcPr>
            <w:tcW w:w="10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2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3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3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45" w:type="dxa"/>
            <w:vMerge w:val="continue"/>
            <w:vAlign w:val="center"/>
          </w:tcPr>
          <w:p>
            <w:pPr>
              <w:widowControl/>
              <w:jc w:val="left"/>
              <w:rPr>
                <w:rFonts w:hint="eastAsia" w:ascii="宋体" w:hAnsi="宋体" w:cs="宋体"/>
                <w:color w:val="000000"/>
                <w:kern w:val="0"/>
                <w:sz w:val="20"/>
                <w:szCs w:val="20"/>
              </w:rPr>
            </w:pPr>
          </w:p>
        </w:tc>
        <w:tc>
          <w:tcPr>
            <w:tcW w:w="68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61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2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3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3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4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8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61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专职联防员满意度</w:t>
            </w:r>
          </w:p>
        </w:tc>
        <w:tc>
          <w:tcPr>
            <w:tcW w:w="10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92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3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3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6135"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3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23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widowControl/>
        <w:jc w:val="left"/>
        <w:rPr>
          <w:rFonts w:hint="eastAsia" w:ascii="仿宋_GB2312" w:hAnsi="仿宋_GB2312" w:eastAsia="仿宋_GB2312" w:cs="仿宋_GB2312"/>
          <w:b/>
          <w:bCs/>
          <w:kern w:val="0"/>
          <w:sz w:val="32"/>
          <w:szCs w:val="32"/>
          <w:lang w:eastAsia="zh-Hans"/>
        </w:rPr>
      </w:pP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7"/>
        <w:gridCol w:w="532"/>
        <w:gridCol w:w="806"/>
        <w:gridCol w:w="2093"/>
        <w:gridCol w:w="936"/>
        <w:gridCol w:w="869"/>
        <w:gridCol w:w="545"/>
        <w:gridCol w:w="242"/>
        <w:gridCol w:w="511"/>
        <w:gridCol w:w="506"/>
        <w:gridCol w:w="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8522" w:type="dxa"/>
            <w:gridSpan w:val="11"/>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522" w:type="dxa"/>
            <w:gridSpan w:val="11"/>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101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03" w:type="dxa"/>
            <w:gridSpan w:val="9"/>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2023年“农村十户长（社区楼栋长）”工作补助经费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101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835"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木垒县木垒镇政府</w:t>
            </w: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799"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1019"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0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0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9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8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01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99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1019" w:type="dxa"/>
            <w:gridSpan w:val="2"/>
            <w:vMerge w:val="continue"/>
            <w:vAlign w:val="center"/>
          </w:tcPr>
          <w:p>
            <w:pPr>
              <w:widowControl/>
              <w:jc w:val="left"/>
              <w:rPr>
                <w:rFonts w:hint="eastAsia" w:ascii="宋体" w:hAnsi="宋体" w:cs="宋体"/>
                <w:color w:val="000000"/>
                <w:kern w:val="0"/>
                <w:sz w:val="20"/>
                <w:szCs w:val="20"/>
              </w:rPr>
            </w:pPr>
          </w:p>
        </w:tc>
        <w:tc>
          <w:tcPr>
            <w:tcW w:w="80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20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40.44</w:t>
            </w:r>
          </w:p>
        </w:tc>
        <w:tc>
          <w:tcPr>
            <w:tcW w:w="9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40.44</w:t>
            </w: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40.44</w:t>
            </w:r>
          </w:p>
        </w:tc>
        <w:tc>
          <w:tcPr>
            <w:tcW w:w="78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1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99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1019" w:type="dxa"/>
            <w:gridSpan w:val="2"/>
            <w:vMerge w:val="continue"/>
            <w:vAlign w:val="center"/>
          </w:tcPr>
          <w:p>
            <w:pPr>
              <w:widowControl/>
              <w:jc w:val="left"/>
              <w:rPr>
                <w:rFonts w:hint="eastAsia" w:ascii="宋体" w:hAnsi="宋体" w:cs="宋体"/>
                <w:color w:val="000000"/>
                <w:kern w:val="0"/>
                <w:sz w:val="20"/>
                <w:szCs w:val="20"/>
              </w:rPr>
            </w:pPr>
          </w:p>
        </w:tc>
        <w:tc>
          <w:tcPr>
            <w:tcW w:w="80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20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40.44</w:t>
            </w:r>
          </w:p>
        </w:tc>
        <w:tc>
          <w:tcPr>
            <w:tcW w:w="9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40.44</w:t>
            </w: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40.44</w:t>
            </w:r>
          </w:p>
        </w:tc>
        <w:tc>
          <w:tcPr>
            <w:tcW w:w="78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01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9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1019" w:type="dxa"/>
            <w:gridSpan w:val="2"/>
            <w:vMerge w:val="continue"/>
            <w:vAlign w:val="center"/>
          </w:tcPr>
          <w:p>
            <w:pPr>
              <w:widowControl/>
              <w:jc w:val="left"/>
              <w:rPr>
                <w:rFonts w:hint="eastAsia" w:ascii="宋体" w:hAnsi="宋体" w:cs="宋体"/>
                <w:color w:val="000000"/>
                <w:kern w:val="0"/>
                <w:sz w:val="20"/>
                <w:szCs w:val="20"/>
              </w:rPr>
            </w:pPr>
          </w:p>
        </w:tc>
        <w:tc>
          <w:tcPr>
            <w:tcW w:w="806"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2093"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936"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869"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78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01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9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48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367"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668"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487" w:type="dxa"/>
            <w:vMerge w:val="continue"/>
            <w:vAlign w:val="center"/>
          </w:tcPr>
          <w:p>
            <w:pPr>
              <w:widowControl/>
              <w:jc w:val="left"/>
              <w:rPr>
                <w:rFonts w:hint="eastAsia" w:ascii="宋体" w:hAnsi="宋体" w:cs="宋体"/>
                <w:color w:val="000000"/>
                <w:kern w:val="0"/>
                <w:sz w:val="20"/>
                <w:szCs w:val="20"/>
              </w:rPr>
            </w:pPr>
          </w:p>
        </w:tc>
        <w:tc>
          <w:tcPr>
            <w:tcW w:w="4367"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计划使用2023年“社区楼栋长”工作补助经费为木垒镇312名楼栋长发放“社区楼栋长”工作补助，提高楼栋长及连户长工作积极性，确保各社区工作顺利开展，促进社会持续稳定。</w:t>
            </w:r>
          </w:p>
        </w:tc>
        <w:tc>
          <w:tcPr>
            <w:tcW w:w="3668" w:type="dxa"/>
            <w:gridSpan w:val="6"/>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本项目已完成如下工作：完成使用2023年“社区楼栋长”工作补助经费为木垒镇312名楼栋长发放“社区楼栋长”工作补助，提高楼栋长及连户长工作积极性，确保各社区工作顺利开展，促进社会持续稳定。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8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2"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80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09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3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69"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4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53"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501"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87" w:type="dxa"/>
            <w:vMerge w:val="continue"/>
            <w:vAlign w:val="center"/>
          </w:tcPr>
          <w:p>
            <w:pPr>
              <w:widowControl/>
              <w:jc w:val="left"/>
              <w:rPr>
                <w:rFonts w:hint="eastAsia" w:ascii="宋体" w:hAnsi="宋体" w:cs="宋体"/>
                <w:color w:val="000000"/>
                <w:kern w:val="0"/>
                <w:sz w:val="20"/>
                <w:szCs w:val="20"/>
              </w:rPr>
            </w:pPr>
          </w:p>
        </w:tc>
        <w:tc>
          <w:tcPr>
            <w:tcW w:w="532" w:type="dxa"/>
            <w:vMerge w:val="continue"/>
            <w:vAlign w:val="center"/>
          </w:tcPr>
          <w:p>
            <w:pPr>
              <w:widowControl/>
              <w:jc w:val="left"/>
              <w:rPr>
                <w:rFonts w:hint="eastAsia" w:ascii="宋体" w:hAnsi="宋体" w:cs="宋体"/>
                <w:color w:val="000000"/>
                <w:kern w:val="0"/>
                <w:sz w:val="20"/>
                <w:szCs w:val="20"/>
              </w:rPr>
            </w:pPr>
          </w:p>
        </w:tc>
        <w:tc>
          <w:tcPr>
            <w:tcW w:w="806" w:type="dxa"/>
            <w:vMerge w:val="continue"/>
            <w:vAlign w:val="center"/>
          </w:tcPr>
          <w:p>
            <w:pPr>
              <w:widowControl/>
              <w:jc w:val="left"/>
              <w:rPr>
                <w:rFonts w:hint="eastAsia" w:ascii="宋体" w:hAnsi="宋体" w:cs="宋体"/>
                <w:color w:val="000000"/>
                <w:kern w:val="0"/>
                <w:sz w:val="20"/>
                <w:szCs w:val="20"/>
              </w:rPr>
            </w:pPr>
          </w:p>
        </w:tc>
        <w:tc>
          <w:tcPr>
            <w:tcW w:w="2093" w:type="dxa"/>
            <w:vMerge w:val="continue"/>
            <w:vAlign w:val="center"/>
          </w:tcPr>
          <w:p>
            <w:pPr>
              <w:widowControl/>
              <w:jc w:val="left"/>
              <w:rPr>
                <w:rFonts w:hint="eastAsia" w:ascii="宋体" w:hAnsi="宋体" w:cs="宋体"/>
                <w:color w:val="000000"/>
                <w:kern w:val="0"/>
                <w:sz w:val="20"/>
                <w:szCs w:val="20"/>
              </w:rPr>
            </w:pPr>
          </w:p>
        </w:tc>
        <w:tc>
          <w:tcPr>
            <w:tcW w:w="936" w:type="dxa"/>
            <w:vMerge w:val="continue"/>
            <w:vAlign w:val="center"/>
          </w:tcPr>
          <w:p>
            <w:pPr>
              <w:widowControl/>
              <w:jc w:val="left"/>
              <w:rPr>
                <w:rFonts w:hint="eastAsia" w:ascii="宋体" w:hAnsi="宋体" w:cs="宋体"/>
                <w:color w:val="000000"/>
                <w:kern w:val="0"/>
                <w:sz w:val="20"/>
                <w:szCs w:val="20"/>
              </w:rPr>
            </w:pPr>
          </w:p>
        </w:tc>
        <w:tc>
          <w:tcPr>
            <w:tcW w:w="869" w:type="dxa"/>
            <w:vMerge w:val="continue"/>
            <w:vAlign w:val="center"/>
          </w:tcPr>
          <w:p>
            <w:pPr>
              <w:widowControl/>
              <w:jc w:val="left"/>
              <w:rPr>
                <w:rFonts w:hint="eastAsia" w:ascii="宋体" w:hAnsi="宋体" w:cs="宋体"/>
                <w:color w:val="000000"/>
                <w:kern w:val="0"/>
                <w:sz w:val="20"/>
                <w:szCs w:val="20"/>
              </w:rPr>
            </w:pPr>
          </w:p>
        </w:tc>
        <w:tc>
          <w:tcPr>
            <w:tcW w:w="545" w:type="dxa"/>
            <w:vMerge w:val="continue"/>
            <w:vAlign w:val="center"/>
          </w:tcPr>
          <w:p>
            <w:pPr>
              <w:widowControl/>
              <w:jc w:val="left"/>
              <w:rPr>
                <w:rFonts w:hint="eastAsia" w:ascii="宋体" w:hAnsi="宋体" w:cs="宋体"/>
                <w:color w:val="000000"/>
                <w:kern w:val="0"/>
                <w:sz w:val="20"/>
                <w:szCs w:val="20"/>
              </w:rPr>
            </w:pPr>
          </w:p>
        </w:tc>
        <w:tc>
          <w:tcPr>
            <w:tcW w:w="753" w:type="dxa"/>
            <w:gridSpan w:val="2"/>
            <w:vMerge w:val="continue"/>
            <w:vAlign w:val="center"/>
          </w:tcPr>
          <w:p>
            <w:pPr>
              <w:widowControl/>
              <w:jc w:val="left"/>
              <w:rPr>
                <w:rFonts w:hint="eastAsia" w:ascii="宋体" w:hAnsi="宋体" w:cs="宋体"/>
                <w:color w:val="000000"/>
                <w:kern w:val="0"/>
                <w:sz w:val="20"/>
                <w:szCs w:val="20"/>
              </w:rPr>
            </w:pPr>
          </w:p>
        </w:tc>
        <w:tc>
          <w:tcPr>
            <w:tcW w:w="1501"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8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32"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80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93"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发放补助楼栋长人数</w:t>
            </w:r>
          </w:p>
        </w:tc>
        <w:tc>
          <w:tcPr>
            <w:tcW w:w="9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&gt;=312人</w:t>
            </w: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=312人</w:t>
            </w:r>
          </w:p>
        </w:tc>
        <w:tc>
          <w:tcPr>
            <w:tcW w:w="54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0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87" w:type="dxa"/>
            <w:vMerge w:val="continue"/>
            <w:vAlign w:val="center"/>
          </w:tcPr>
          <w:p>
            <w:pPr>
              <w:widowControl/>
              <w:jc w:val="left"/>
              <w:rPr>
                <w:rFonts w:hint="eastAsia" w:ascii="宋体" w:hAnsi="宋体" w:cs="宋体"/>
                <w:color w:val="000000"/>
                <w:kern w:val="0"/>
                <w:sz w:val="20"/>
                <w:szCs w:val="20"/>
              </w:rPr>
            </w:pPr>
          </w:p>
        </w:tc>
        <w:tc>
          <w:tcPr>
            <w:tcW w:w="532" w:type="dxa"/>
            <w:vMerge w:val="continue"/>
            <w:vAlign w:val="center"/>
          </w:tcPr>
          <w:p>
            <w:pPr>
              <w:widowControl/>
              <w:jc w:val="left"/>
              <w:rPr>
                <w:rFonts w:hint="eastAsia" w:ascii="宋体" w:hAnsi="宋体" w:cs="宋体"/>
                <w:color w:val="000000"/>
                <w:kern w:val="0"/>
                <w:sz w:val="20"/>
                <w:szCs w:val="20"/>
              </w:rPr>
            </w:pPr>
          </w:p>
        </w:tc>
        <w:tc>
          <w:tcPr>
            <w:tcW w:w="80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93"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涉及行政社区数量</w:t>
            </w:r>
          </w:p>
        </w:tc>
        <w:tc>
          <w:tcPr>
            <w:tcW w:w="9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&gt;=7个</w:t>
            </w: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=7个</w:t>
            </w:r>
          </w:p>
        </w:tc>
        <w:tc>
          <w:tcPr>
            <w:tcW w:w="54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0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87" w:type="dxa"/>
            <w:vMerge w:val="continue"/>
            <w:vAlign w:val="center"/>
          </w:tcPr>
          <w:p>
            <w:pPr>
              <w:widowControl/>
              <w:jc w:val="left"/>
              <w:rPr>
                <w:rFonts w:hint="eastAsia" w:ascii="宋体" w:hAnsi="宋体" w:cs="宋体"/>
                <w:color w:val="000000"/>
                <w:kern w:val="0"/>
                <w:sz w:val="20"/>
                <w:szCs w:val="20"/>
              </w:rPr>
            </w:pPr>
          </w:p>
        </w:tc>
        <w:tc>
          <w:tcPr>
            <w:tcW w:w="532" w:type="dxa"/>
            <w:vMerge w:val="continue"/>
            <w:vAlign w:val="center"/>
          </w:tcPr>
          <w:p>
            <w:pPr>
              <w:widowControl/>
              <w:jc w:val="left"/>
              <w:rPr>
                <w:rFonts w:hint="eastAsia" w:ascii="宋体" w:hAnsi="宋体" w:cs="宋体"/>
                <w:color w:val="000000"/>
                <w:kern w:val="0"/>
                <w:sz w:val="20"/>
                <w:szCs w:val="20"/>
              </w:rPr>
            </w:pPr>
          </w:p>
        </w:tc>
        <w:tc>
          <w:tcPr>
            <w:tcW w:w="80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093"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补助资金发放准确率</w:t>
            </w:r>
          </w:p>
        </w:tc>
        <w:tc>
          <w:tcPr>
            <w:tcW w:w="9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0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87" w:type="dxa"/>
            <w:vMerge w:val="continue"/>
            <w:vAlign w:val="center"/>
          </w:tcPr>
          <w:p>
            <w:pPr>
              <w:widowControl/>
              <w:jc w:val="left"/>
              <w:rPr>
                <w:rFonts w:hint="eastAsia" w:ascii="宋体" w:hAnsi="宋体" w:cs="宋体"/>
                <w:color w:val="000000"/>
                <w:kern w:val="0"/>
                <w:sz w:val="20"/>
                <w:szCs w:val="20"/>
              </w:rPr>
            </w:pPr>
          </w:p>
        </w:tc>
        <w:tc>
          <w:tcPr>
            <w:tcW w:w="532" w:type="dxa"/>
            <w:vMerge w:val="continue"/>
            <w:vAlign w:val="center"/>
          </w:tcPr>
          <w:p>
            <w:pPr>
              <w:widowControl/>
              <w:jc w:val="left"/>
              <w:rPr>
                <w:rFonts w:hint="eastAsia" w:ascii="宋体" w:hAnsi="宋体" w:cs="宋体"/>
                <w:color w:val="000000"/>
                <w:kern w:val="0"/>
                <w:sz w:val="20"/>
                <w:szCs w:val="20"/>
              </w:rPr>
            </w:pPr>
          </w:p>
        </w:tc>
        <w:tc>
          <w:tcPr>
            <w:tcW w:w="80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093"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补助标准执行率</w:t>
            </w:r>
          </w:p>
        </w:tc>
        <w:tc>
          <w:tcPr>
            <w:tcW w:w="9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5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50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87" w:type="dxa"/>
            <w:vMerge w:val="continue"/>
            <w:vAlign w:val="center"/>
          </w:tcPr>
          <w:p>
            <w:pPr>
              <w:widowControl/>
              <w:jc w:val="left"/>
              <w:rPr>
                <w:rFonts w:hint="eastAsia" w:ascii="宋体" w:hAnsi="宋体" w:cs="宋体"/>
                <w:color w:val="000000"/>
                <w:kern w:val="0"/>
                <w:sz w:val="20"/>
                <w:szCs w:val="20"/>
              </w:rPr>
            </w:pPr>
          </w:p>
        </w:tc>
        <w:tc>
          <w:tcPr>
            <w:tcW w:w="532" w:type="dxa"/>
            <w:vMerge w:val="continue"/>
            <w:vAlign w:val="center"/>
          </w:tcPr>
          <w:p>
            <w:pPr>
              <w:widowControl/>
              <w:jc w:val="left"/>
              <w:rPr>
                <w:rFonts w:hint="eastAsia" w:ascii="宋体" w:hAnsi="宋体" w:cs="宋体"/>
                <w:color w:val="000000"/>
                <w:kern w:val="0"/>
                <w:sz w:val="20"/>
                <w:szCs w:val="20"/>
              </w:rPr>
            </w:pPr>
          </w:p>
        </w:tc>
        <w:tc>
          <w:tcPr>
            <w:tcW w:w="80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093"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9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0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87" w:type="dxa"/>
            <w:vMerge w:val="continue"/>
            <w:vAlign w:val="center"/>
          </w:tcPr>
          <w:p>
            <w:pPr>
              <w:widowControl/>
              <w:jc w:val="left"/>
              <w:rPr>
                <w:rFonts w:hint="eastAsia" w:ascii="宋体" w:hAnsi="宋体" w:cs="宋体"/>
                <w:color w:val="000000"/>
                <w:kern w:val="0"/>
                <w:sz w:val="20"/>
                <w:szCs w:val="20"/>
              </w:rPr>
            </w:pPr>
          </w:p>
        </w:tc>
        <w:tc>
          <w:tcPr>
            <w:tcW w:w="532"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80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093"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楼栋长补助标准</w:t>
            </w:r>
          </w:p>
        </w:tc>
        <w:tc>
          <w:tcPr>
            <w:tcW w:w="9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&lt;=1200元/人</w:t>
            </w: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=1200元/人</w:t>
            </w:r>
          </w:p>
        </w:tc>
        <w:tc>
          <w:tcPr>
            <w:tcW w:w="54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5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50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87" w:type="dxa"/>
            <w:vMerge w:val="continue"/>
            <w:vAlign w:val="center"/>
          </w:tcPr>
          <w:p>
            <w:pPr>
              <w:widowControl/>
              <w:jc w:val="left"/>
              <w:rPr>
                <w:rFonts w:hint="eastAsia" w:ascii="宋体" w:hAnsi="宋体" w:cs="宋体"/>
                <w:color w:val="000000"/>
                <w:kern w:val="0"/>
                <w:sz w:val="20"/>
                <w:szCs w:val="20"/>
              </w:rPr>
            </w:pPr>
          </w:p>
        </w:tc>
        <w:tc>
          <w:tcPr>
            <w:tcW w:w="532" w:type="dxa"/>
            <w:vMerge w:val="continue"/>
            <w:vAlign w:val="center"/>
          </w:tcPr>
          <w:p>
            <w:pPr>
              <w:widowControl/>
              <w:jc w:val="left"/>
              <w:rPr>
                <w:rFonts w:hint="eastAsia" w:ascii="宋体" w:hAnsi="宋体" w:cs="宋体"/>
                <w:color w:val="000000"/>
                <w:kern w:val="0"/>
                <w:sz w:val="20"/>
                <w:szCs w:val="20"/>
              </w:rPr>
            </w:pPr>
          </w:p>
        </w:tc>
        <w:tc>
          <w:tcPr>
            <w:tcW w:w="80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093"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0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87" w:type="dxa"/>
            <w:vMerge w:val="continue"/>
            <w:vAlign w:val="center"/>
          </w:tcPr>
          <w:p>
            <w:pPr>
              <w:widowControl/>
              <w:jc w:val="left"/>
              <w:rPr>
                <w:rFonts w:hint="eastAsia" w:ascii="宋体" w:hAnsi="宋体" w:cs="宋体"/>
                <w:color w:val="000000"/>
                <w:kern w:val="0"/>
                <w:sz w:val="20"/>
                <w:szCs w:val="20"/>
              </w:rPr>
            </w:pPr>
          </w:p>
        </w:tc>
        <w:tc>
          <w:tcPr>
            <w:tcW w:w="532" w:type="dxa"/>
            <w:vMerge w:val="continue"/>
            <w:vAlign w:val="center"/>
          </w:tcPr>
          <w:p>
            <w:pPr>
              <w:widowControl/>
              <w:jc w:val="left"/>
              <w:rPr>
                <w:rFonts w:hint="eastAsia" w:ascii="宋体" w:hAnsi="宋体" w:cs="宋体"/>
                <w:color w:val="000000"/>
                <w:kern w:val="0"/>
                <w:sz w:val="20"/>
                <w:szCs w:val="20"/>
              </w:rPr>
            </w:pPr>
          </w:p>
        </w:tc>
        <w:tc>
          <w:tcPr>
            <w:tcW w:w="80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093"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0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87" w:type="dxa"/>
            <w:vMerge w:val="continue"/>
            <w:vAlign w:val="center"/>
          </w:tcPr>
          <w:p>
            <w:pPr>
              <w:widowControl/>
              <w:jc w:val="left"/>
              <w:rPr>
                <w:rFonts w:hint="eastAsia" w:ascii="宋体" w:hAnsi="宋体" w:cs="宋体"/>
                <w:color w:val="000000"/>
                <w:kern w:val="0"/>
                <w:sz w:val="20"/>
                <w:szCs w:val="20"/>
              </w:rPr>
            </w:pPr>
          </w:p>
        </w:tc>
        <w:tc>
          <w:tcPr>
            <w:tcW w:w="532"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80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093"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0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87" w:type="dxa"/>
            <w:vMerge w:val="continue"/>
            <w:vAlign w:val="center"/>
          </w:tcPr>
          <w:p>
            <w:pPr>
              <w:widowControl/>
              <w:jc w:val="left"/>
              <w:rPr>
                <w:rFonts w:hint="eastAsia" w:ascii="宋体" w:hAnsi="宋体" w:cs="宋体"/>
                <w:color w:val="000000"/>
                <w:kern w:val="0"/>
                <w:sz w:val="20"/>
                <w:szCs w:val="20"/>
              </w:rPr>
            </w:pPr>
          </w:p>
        </w:tc>
        <w:tc>
          <w:tcPr>
            <w:tcW w:w="532" w:type="dxa"/>
            <w:vMerge w:val="continue"/>
            <w:vAlign w:val="center"/>
          </w:tcPr>
          <w:p>
            <w:pPr>
              <w:widowControl/>
              <w:jc w:val="left"/>
              <w:rPr>
                <w:rFonts w:hint="eastAsia" w:ascii="宋体" w:hAnsi="宋体" w:cs="宋体"/>
                <w:color w:val="000000"/>
                <w:kern w:val="0"/>
                <w:sz w:val="20"/>
                <w:szCs w:val="20"/>
              </w:rPr>
            </w:pPr>
          </w:p>
        </w:tc>
        <w:tc>
          <w:tcPr>
            <w:tcW w:w="80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093"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楼栋正常运转率</w:t>
            </w:r>
          </w:p>
        </w:tc>
        <w:tc>
          <w:tcPr>
            <w:tcW w:w="9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5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50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87" w:type="dxa"/>
            <w:vMerge w:val="continue"/>
            <w:vAlign w:val="center"/>
          </w:tcPr>
          <w:p>
            <w:pPr>
              <w:widowControl/>
              <w:jc w:val="left"/>
              <w:rPr>
                <w:rFonts w:hint="eastAsia" w:ascii="宋体" w:hAnsi="宋体" w:cs="宋体"/>
                <w:color w:val="000000"/>
                <w:kern w:val="0"/>
                <w:sz w:val="20"/>
                <w:szCs w:val="20"/>
              </w:rPr>
            </w:pPr>
          </w:p>
        </w:tc>
        <w:tc>
          <w:tcPr>
            <w:tcW w:w="532" w:type="dxa"/>
            <w:vMerge w:val="continue"/>
            <w:vAlign w:val="center"/>
          </w:tcPr>
          <w:p>
            <w:pPr>
              <w:widowControl/>
              <w:jc w:val="left"/>
              <w:rPr>
                <w:rFonts w:hint="eastAsia" w:ascii="宋体" w:hAnsi="宋体" w:cs="宋体"/>
                <w:color w:val="000000"/>
                <w:kern w:val="0"/>
                <w:sz w:val="20"/>
                <w:szCs w:val="20"/>
              </w:rPr>
            </w:pPr>
          </w:p>
        </w:tc>
        <w:tc>
          <w:tcPr>
            <w:tcW w:w="80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093"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0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87" w:type="dxa"/>
            <w:vMerge w:val="continue"/>
            <w:vAlign w:val="center"/>
          </w:tcPr>
          <w:p>
            <w:pPr>
              <w:widowControl/>
              <w:jc w:val="left"/>
              <w:rPr>
                <w:rFonts w:hint="eastAsia" w:ascii="宋体" w:hAnsi="宋体" w:cs="宋体"/>
                <w:color w:val="000000"/>
                <w:kern w:val="0"/>
                <w:sz w:val="20"/>
                <w:szCs w:val="20"/>
              </w:rPr>
            </w:pPr>
          </w:p>
        </w:tc>
        <w:tc>
          <w:tcPr>
            <w:tcW w:w="53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0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093"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楼栋长满意度</w:t>
            </w:r>
          </w:p>
        </w:tc>
        <w:tc>
          <w:tcPr>
            <w:tcW w:w="9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4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0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5723"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4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5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50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仿宋_GB2312" w:hAnsi="仿宋_GB2312" w:eastAsia="仿宋_GB2312" w:cs="仿宋_GB2312"/>
          <w:kern w:val="0"/>
          <w:sz w:val="32"/>
          <w:szCs w:val="32"/>
          <w:lang w:eastAsia="zh-Hans"/>
        </w:rPr>
      </w:pP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616"/>
        <w:gridCol w:w="2816"/>
        <w:gridCol w:w="884"/>
        <w:gridCol w:w="1142"/>
        <w:gridCol w:w="516"/>
        <w:gridCol w:w="80"/>
        <w:gridCol w:w="470"/>
        <w:gridCol w:w="448"/>
        <w:gridCol w:w="7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8522" w:type="dxa"/>
            <w:gridSpan w:val="11"/>
            <w:shd w:val="clear" w:color="auto" w:fill="auto"/>
            <w:vAlign w:val="center"/>
          </w:tcPr>
          <w:p>
            <w:pPr>
              <w:widowControl/>
              <w:jc w:val="center"/>
              <w:rPr>
                <w:rFonts w:hint="eastAsia" w:asciiTheme="minorEastAsia" w:hAnsiTheme="minorEastAsia" w:eastAsiaTheme="minorEastAsia"/>
                <w:sz w:val="20"/>
                <w:szCs w:val="20"/>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522" w:type="dxa"/>
            <w:gridSpan w:val="11"/>
            <w:shd w:val="clear" w:color="auto" w:fill="auto"/>
            <w:vAlign w:val="center"/>
          </w:tcPr>
          <w:p>
            <w:pPr>
              <w:jc w:val="cente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2" w:type="dxa"/>
            <w:gridSpan w:val="2"/>
            <w:shd w:val="clear" w:color="auto" w:fill="auto"/>
            <w:vAlign w:val="center"/>
          </w:tcPr>
          <w:p>
            <w:pPr>
              <w:jc w:val="cente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项目名称</w:t>
            </w:r>
          </w:p>
        </w:tc>
        <w:tc>
          <w:tcPr>
            <w:tcW w:w="7690" w:type="dxa"/>
            <w:gridSpan w:val="9"/>
            <w:shd w:val="clear" w:color="auto" w:fill="auto"/>
            <w:vAlign w:val="center"/>
          </w:tcPr>
          <w:p>
            <w:pPr>
              <w:jc w:val="cente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2023年安全生产专项资金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2" w:type="dxa"/>
            <w:gridSpan w:val="2"/>
            <w:shd w:val="clear" w:color="auto" w:fill="auto"/>
            <w:vAlign w:val="center"/>
          </w:tcPr>
          <w:p>
            <w:pPr>
              <w:jc w:val="cente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主管部门</w:t>
            </w:r>
          </w:p>
        </w:tc>
        <w:tc>
          <w:tcPr>
            <w:tcW w:w="4316" w:type="dxa"/>
            <w:gridSpan w:val="3"/>
            <w:shd w:val="clear" w:color="auto" w:fill="auto"/>
            <w:vAlign w:val="center"/>
          </w:tcPr>
          <w:p>
            <w:pPr>
              <w:jc w:val="cente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木垒县木垒镇政府</w:t>
            </w:r>
          </w:p>
        </w:tc>
        <w:tc>
          <w:tcPr>
            <w:tcW w:w="1142" w:type="dxa"/>
            <w:shd w:val="clear" w:color="auto" w:fill="auto"/>
            <w:vAlign w:val="center"/>
          </w:tcPr>
          <w:p>
            <w:pPr>
              <w:jc w:val="cente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实施单位</w:t>
            </w:r>
          </w:p>
        </w:tc>
        <w:tc>
          <w:tcPr>
            <w:tcW w:w="2232" w:type="dxa"/>
            <w:gridSpan w:val="5"/>
            <w:shd w:val="clear" w:color="auto" w:fill="auto"/>
            <w:vAlign w:val="center"/>
          </w:tcPr>
          <w:p>
            <w:pPr>
              <w:jc w:val="cente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木垒县木垒镇政府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832" w:type="dxa"/>
            <w:gridSpan w:val="2"/>
            <w:vMerge w:val="restart"/>
            <w:shd w:val="clear" w:color="auto" w:fill="auto"/>
            <w:vAlign w:val="center"/>
          </w:tcPr>
          <w:p>
            <w:pPr>
              <w:jc w:val="cente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项目资金</w:t>
            </w:r>
            <w:r>
              <w:rPr>
                <w:rFonts w:hint="eastAsia" w:asciiTheme="minorEastAsia" w:hAnsiTheme="minorEastAsia" w:eastAsiaTheme="minorEastAsia"/>
                <w:sz w:val="20"/>
                <w:szCs w:val="20"/>
              </w:rPr>
              <w:br w:type="textWrapping"/>
            </w:r>
            <w:r>
              <w:rPr>
                <w:rFonts w:hint="eastAsia" w:asciiTheme="minorEastAsia" w:hAnsiTheme="minorEastAsia" w:eastAsiaTheme="minorEastAsia"/>
                <w:sz w:val="20"/>
                <w:szCs w:val="20"/>
              </w:rPr>
              <w:t>（万元）</w:t>
            </w:r>
          </w:p>
        </w:tc>
        <w:tc>
          <w:tcPr>
            <w:tcW w:w="616" w:type="dxa"/>
            <w:shd w:val="clear" w:color="auto" w:fill="auto"/>
            <w:vAlign w:val="center"/>
          </w:tcPr>
          <w:p>
            <w:pPr>
              <w:jc w:val="center"/>
              <w:rPr>
                <w:rFonts w:hint="eastAsia" w:asciiTheme="minorEastAsia" w:hAnsiTheme="minorEastAsia" w:eastAsiaTheme="minorEastAsia"/>
                <w:sz w:val="20"/>
                <w:szCs w:val="20"/>
              </w:rPr>
            </w:pPr>
          </w:p>
        </w:tc>
        <w:tc>
          <w:tcPr>
            <w:tcW w:w="2816" w:type="dxa"/>
            <w:shd w:val="clear" w:color="auto" w:fill="auto"/>
            <w:vAlign w:val="center"/>
          </w:tcPr>
          <w:p>
            <w:pPr>
              <w:jc w:val="cente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年初预算数</w:t>
            </w:r>
          </w:p>
        </w:tc>
        <w:tc>
          <w:tcPr>
            <w:tcW w:w="884" w:type="dxa"/>
            <w:shd w:val="clear" w:color="auto" w:fill="auto"/>
            <w:vAlign w:val="center"/>
          </w:tcPr>
          <w:p>
            <w:pPr>
              <w:jc w:val="cente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全年预算数</w:t>
            </w:r>
          </w:p>
        </w:tc>
        <w:tc>
          <w:tcPr>
            <w:tcW w:w="1142" w:type="dxa"/>
            <w:shd w:val="clear" w:color="auto" w:fill="auto"/>
            <w:vAlign w:val="center"/>
          </w:tcPr>
          <w:p>
            <w:pPr>
              <w:jc w:val="cente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全年执行数</w:t>
            </w:r>
          </w:p>
        </w:tc>
        <w:tc>
          <w:tcPr>
            <w:tcW w:w="596" w:type="dxa"/>
            <w:gridSpan w:val="2"/>
            <w:shd w:val="clear" w:color="auto" w:fill="auto"/>
            <w:vAlign w:val="center"/>
          </w:tcPr>
          <w:p>
            <w:pPr>
              <w:jc w:val="cente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分值</w:t>
            </w:r>
          </w:p>
        </w:tc>
        <w:tc>
          <w:tcPr>
            <w:tcW w:w="918" w:type="dxa"/>
            <w:gridSpan w:val="2"/>
            <w:shd w:val="clear" w:color="auto" w:fill="auto"/>
            <w:vAlign w:val="center"/>
          </w:tcPr>
          <w:p>
            <w:pPr>
              <w:jc w:val="cente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执行率</w:t>
            </w:r>
          </w:p>
        </w:tc>
        <w:tc>
          <w:tcPr>
            <w:tcW w:w="718" w:type="dxa"/>
            <w:shd w:val="clear" w:color="auto" w:fill="auto"/>
            <w:vAlign w:val="center"/>
          </w:tcPr>
          <w:p>
            <w:pPr>
              <w:jc w:val="cente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rPr>
                <w:rFonts w:hint="eastAsia" w:asciiTheme="minorEastAsia" w:hAnsiTheme="minorEastAsia" w:eastAsiaTheme="minorEastAsia"/>
                <w:sz w:val="20"/>
                <w:szCs w:val="20"/>
              </w:rPr>
            </w:pPr>
          </w:p>
        </w:tc>
        <w:tc>
          <w:tcPr>
            <w:tcW w:w="616"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年度资金总额</w:t>
            </w:r>
          </w:p>
        </w:tc>
        <w:tc>
          <w:tcPr>
            <w:tcW w:w="2816" w:type="dxa"/>
            <w:shd w:val="clear" w:color="auto" w:fill="auto"/>
            <w:vAlign w:val="center"/>
          </w:tcPr>
          <w:p>
            <w:pPr>
              <w:jc w:val="cente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15.00</w:t>
            </w:r>
          </w:p>
        </w:tc>
        <w:tc>
          <w:tcPr>
            <w:tcW w:w="884" w:type="dxa"/>
            <w:shd w:val="clear" w:color="auto" w:fill="auto"/>
            <w:vAlign w:val="center"/>
          </w:tcPr>
          <w:p>
            <w:pPr>
              <w:jc w:val="cente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15.00</w:t>
            </w:r>
          </w:p>
        </w:tc>
        <w:tc>
          <w:tcPr>
            <w:tcW w:w="1142" w:type="dxa"/>
            <w:shd w:val="clear" w:color="auto" w:fill="auto"/>
            <w:vAlign w:val="center"/>
          </w:tcPr>
          <w:p>
            <w:pPr>
              <w:jc w:val="cente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15.00</w:t>
            </w:r>
          </w:p>
        </w:tc>
        <w:tc>
          <w:tcPr>
            <w:tcW w:w="596" w:type="dxa"/>
            <w:gridSpan w:val="2"/>
            <w:shd w:val="clear" w:color="auto" w:fill="auto"/>
            <w:vAlign w:val="center"/>
          </w:tcPr>
          <w:p>
            <w:pPr>
              <w:jc w:val="cente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10</w:t>
            </w:r>
          </w:p>
        </w:tc>
        <w:tc>
          <w:tcPr>
            <w:tcW w:w="918" w:type="dxa"/>
            <w:gridSpan w:val="2"/>
            <w:shd w:val="clear" w:color="auto" w:fill="auto"/>
            <w:vAlign w:val="center"/>
          </w:tcPr>
          <w:p>
            <w:pPr>
              <w:jc w:val="cente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100.00%</w:t>
            </w:r>
          </w:p>
        </w:tc>
        <w:tc>
          <w:tcPr>
            <w:tcW w:w="718" w:type="dxa"/>
            <w:shd w:val="clear" w:color="auto" w:fill="auto"/>
            <w:vAlign w:val="center"/>
          </w:tcPr>
          <w:p>
            <w:pPr>
              <w:jc w:val="cente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rPr>
                <w:rFonts w:hint="eastAsia" w:asciiTheme="minorEastAsia" w:hAnsiTheme="minorEastAsia" w:eastAsiaTheme="minorEastAsia"/>
                <w:sz w:val="20"/>
                <w:szCs w:val="20"/>
              </w:rPr>
            </w:pPr>
          </w:p>
        </w:tc>
        <w:tc>
          <w:tcPr>
            <w:tcW w:w="616"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其中：当年财政拨款</w:t>
            </w:r>
          </w:p>
        </w:tc>
        <w:tc>
          <w:tcPr>
            <w:tcW w:w="2816" w:type="dxa"/>
            <w:shd w:val="clear" w:color="auto" w:fill="auto"/>
            <w:vAlign w:val="center"/>
          </w:tcPr>
          <w:p>
            <w:pPr>
              <w:jc w:val="cente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15.00</w:t>
            </w:r>
          </w:p>
        </w:tc>
        <w:tc>
          <w:tcPr>
            <w:tcW w:w="884" w:type="dxa"/>
            <w:shd w:val="clear" w:color="auto" w:fill="auto"/>
            <w:vAlign w:val="center"/>
          </w:tcPr>
          <w:p>
            <w:pPr>
              <w:jc w:val="cente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15.00</w:t>
            </w:r>
          </w:p>
        </w:tc>
        <w:tc>
          <w:tcPr>
            <w:tcW w:w="1142" w:type="dxa"/>
            <w:shd w:val="clear" w:color="auto" w:fill="auto"/>
            <w:vAlign w:val="center"/>
          </w:tcPr>
          <w:p>
            <w:pPr>
              <w:jc w:val="cente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15.00</w:t>
            </w:r>
          </w:p>
        </w:tc>
        <w:tc>
          <w:tcPr>
            <w:tcW w:w="596" w:type="dxa"/>
            <w:gridSpan w:val="2"/>
            <w:shd w:val="clear" w:color="auto" w:fill="auto"/>
            <w:vAlign w:val="center"/>
          </w:tcPr>
          <w:p>
            <w:pPr>
              <w:jc w:val="cente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w:t>
            </w:r>
          </w:p>
        </w:tc>
        <w:tc>
          <w:tcPr>
            <w:tcW w:w="918" w:type="dxa"/>
            <w:gridSpan w:val="2"/>
            <w:shd w:val="clear" w:color="auto" w:fill="auto"/>
            <w:vAlign w:val="center"/>
          </w:tcPr>
          <w:p>
            <w:pPr>
              <w:jc w:val="cente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w:t>
            </w:r>
          </w:p>
        </w:tc>
        <w:tc>
          <w:tcPr>
            <w:tcW w:w="718" w:type="dxa"/>
            <w:shd w:val="clear" w:color="auto" w:fill="auto"/>
            <w:vAlign w:val="center"/>
          </w:tcPr>
          <w:p>
            <w:pPr>
              <w:jc w:val="cente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rPr>
                <w:rFonts w:hint="eastAsia" w:asciiTheme="minorEastAsia" w:hAnsiTheme="minorEastAsia" w:eastAsiaTheme="minorEastAsia"/>
                <w:sz w:val="20"/>
                <w:szCs w:val="20"/>
              </w:rPr>
            </w:pPr>
          </w:p>
        </w:tc>
        <w:tc>
          <w:tcPr>
            <w:tcW w:w="616"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2816"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884"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142"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596" w:type="dxa"/>
            <w:gridSpan w:val="2"/>
            <w:shd w:val="clear" w:color="auto" w:fill="auto"/>
            <w:vAlign w:val="center"/>
          </w:tcPr>
          <w:p>
            <w:pPr>
              <w:jc w:val="cente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w:t>
            </w:r>
          </w:p>
        </w:tc>
        <w:tc>
          <w:tcPr>
            <w:tcW w:w="918" w:type="dxa"/>
            <w:gridSpan w:val="2"/>
            <w:shd w:val="clear" w:color="auto" w:fill="auto"/>
            <w:vAlign w:val="center"/>
          </w:tcPr>
          <w:p>
            <w:pPr>
              <w:jc w:val="cente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w:t>
            </w:r>
          </w:p>
        </w:tc>
        <w:tc>
          <w:tcPr>
            <w:tcW w:w="718" w:type="dxa"/>
            <w:shd w:val="clear" w:color="auto" w:fill="auto"/>
            <w:vAlign w:val="center"/>
          </w:tcPr>
          <w:p>
            <w:pPr>
              <w:jc w:val="cente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416" w:type="dxa"/>
            <w:vMerge w:val="restart"/>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年度总体目标</w:t>
            </w:r>
          </w:p>
        </w:tc>
        <w:tc>
          <w:tcPr>
            <w:tcW w:w="4732" w:type="dxa"/>
            <w:gridSpan w:val="4"/>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预期目标</w:t>
            </w:r>
          </w:p>
        </w:tc>
        <w:tc>
          <w:tcPr>
            <w:tcW w:w="3374" w:type="dxa"/>
            <w:gridSpan w:val="6"/>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416" w:type="dxa"/>
            <w:vMerge w:val="continue"/>
            <w:vAlign w:val="center"/>
          </w:tcPr>
          <w:p>
            <w:pPr>
              <w:rPr>
                <w:rFonts w:hint="eastAsia" w:asciiTheme="minorEastAsia" w:hAnsiTheme="minorEastAsia" w:eastAsiaTheme="minorEastAsia"/>
                <w:sz w:val="20"/>
                <w:szCs w:val="20"/>
              </w:rPr>
            </w:pPr>
          </w:p>
        </w:tc>
        <w:tc>
          <w:tcPr>
            <w:tcW w:w="4732" w:type="dxa"/>
            <w:gridSpan w:val="4"/>
            <w:shd w:val="clear" w:color="auto" w:fill="auto"/>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为了加强木垒镇安全生产基础设施建设，进一步治理乡镇安全生产工作等问题，现申请安全生产专项资金15万元，用于木垒镇安全生产宣传培训2万元、消防设施建设4万元、应急救援物资储备库3万元、重点隐患整改6万元安全生产资金，项目实施可防止生产损失，减少安全事故发生，提高群众幸福指数。</w:t>
            </w:r>
          </w:p>
        </w:tc>
        <w:tc>
          <w:tcPr>
            <w:tcW w:w="3374" w:type="dxa"/>
            <w:gridSpan w:val="6"/>
            <w:shd w:val="clear" w:color="auto" w:fill="auto"/>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本项目已完成如下工作：涉及乡镇机关及社区数量8个，购买应急救援及消防物资数量50个。支付安全生产宣传培训2万元、消防设施建设4万元、应急救援物资储备库3万元、重点隐患整改6万元安全生产资金。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6" w:type="dxa"/>
            <w:vMerge w:val="restart"/>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　</w:t>
            </w:r>
          </w:p>
        </w:tc>
        <w:tc>
          <w:tcPr>
            <w:tcW w:w="416" w:type="dxa"/>
            <w:vMerge w:val="restart"/>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一级指标</w:t>
            </w:r>
          </w:p>
        </w:tc>
        <w:tc>
          <w:tcPr>
            <w:tcW w:w="616" w:type="dxa"/>
            <w:vMerge w:val="restart"/>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二级指标</w:t>
            </w:r>
          </w:p>
        </w:tc>
        <w:tc>
          <w:tcPr>
            <w:tcW w:w="2816" w:type="dxa"/>
            <w:vMerge w:val="restart"/>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三级指标</w:t>
            </w:r>
          </w:p>
        </w:tc>
        <w:tc>
          <w:tcPr>
            <w:tcW w:w="884" w:type="dxa"/>
            <w:vMerge w:val="restart"/>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年度指标值</w:t>
            </w:r>
          </w:p>
        </w:tc>
        <w:tc>
          <w:tcPr>
            <w:tcW w:w="1142" w:type="dxa"/>
            <w:vMerge w:val="restart"/>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实际完成值</w:t>
            </w:r>
          </w:p>
        </w:tc>
        <w:tc>
          <w:tcPr>
            <w:tcW w:w="516" w:type="dxa"/>
            <w:vMerge w:val="restart"/>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分值</w:t>
            </w:r>
          </w:p>
        </w:tc>
        <w:tc>
          <w:tcPr>
            <w:tcW w:w="550" w:type="dxa"/>
            <w:gridSpan w:val="2"/>
            <w:vMerge w:val="restart"/>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得分</w:t>
            </w:r>
          </w:p>
        </w:tc>
        <w:tc>
          <w:tcPr>
            <w:tcW w:w="1166" w:type="dxa"/>
            <w:gridSpan w:val="2"/>
            <w:vMerge w:val="restart"/>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6" w:type="dxa"/>
            <w:vMerge w:val="continue"/>
            <w:vAlign w:val="center"/>
          </w:tcPr>
          <w:p>
            <w:pPr>
              <w:rPr>
                <w:rFonts w:hint="eastAsia" w:asciiTheme="minorEastAsia" w:hAnsiTheme="minorEastAsia" w:eastAsiaTheme="minorEastAsia"/>
                <w:sz w:val="20"/>
                <w:szCs w:val="20"/>
              </w:rPr>
            </w:pPr>
          </w:p>
        </w:tc>
        <w:tc>
          <w:tcPr>
            <w:tcW w:w="416" w:type="dxa"/>
            <w:vMerge w:val="continue"/>
            <w:vAlign w:val="center"/>
          </w:tcPr>
          <w:p>
            <w:pPr>
              <w:rPr>
                <w:rFonts w:hint="eastAsia" w:asciiTheme="minorEastAsia" w:hAnsiTheme="minorEastAsia" w:eastAsiaTheme="minorEastAsia"/>
                <w:sz w:val="20"/>
                <w:szCs w:val="20"/>
              </w:rPr>
            </w:pPr>
          </w:p>
        </w:tc>
        <w:tc>
          <w:tcPr>
            <w:tcW w:w="616" w:type="dxa"/>
            <w:vMerge w:val="continue"/>
            <w:vAlign w:val="center"/>
          </w:tcPr>
          <w:p>
            <w:pPr>
              <w:rPr>
                <w:rFonts w:hint="eastAsia" w:asciiTheme="minorEastAsia" w:hAnsiTheme="minorEastAsia" w:eastAsiaTheme="minorEastAsia"/>
                <w:sz w:val="20"/>
                <w:szCs w:val="20"/>
              </w:rPr>
            </w:pPr>
          </w:p>
        </w:tc>
        <w:tc>
          <w:tcPr>
            <w:tcW w:w="2816" w:type="dxa"/>
            <w:vMerge w:val="continue"/>
            <w:vAlign w:val="center"/>
          </w:tcPr>
          <w:p>
            <w:pPr>
              <w:rPr>
                <w:rFonts w:hint="eastAsia" w:asciiTheme="minorEastAsia" w:hAnsiTheme="minorEastAsia" w:eastAsiaTheme="minorEastAsia"/>
                <w:sz w:val="20"/>
                <w:szCs w:val="20"/>
              </w:rPr>
            </w:pPr>
          </w:p>
        </w:tc>
        <w:tc>
          <w:tcPr>
            <w:tcW w:w="884" w:type="dxa"/>
            <w:vMerge w:val="continue"/>
            <w:vAlign w:val="center"/>
          </w:tcPr>
          <w:p>
            <w:pPr>
              <w:rPr>
                <w:rFonts w:hint="eastAsia" w:asciiTheme="minorEastAsia" w:hAnsiTheme="minorEastAsia" w:eastAsiaTheme="minorEastAsia"/>
                <w:sz w:val="20"/>
                <w:szCs w:val="20"/>
              </w:rPr>
            </w:pPr>
          </w:p>
        </w:tc>
        <w:tc>
          <w:tcPr>
            <w:tcW w:w="1142" w:type="dxa"/>
            <w:vMerge w:val="continue"/>
            <w:vAlign w:val="center"/>
          </w:tcPr>
          <w:p>
            <w:pPr>
              <w:rPr>
                <w:rFonts w:hint="eastAsia" w:asciiTheme="minorEastAsia" w:hAnsiTheme="minorEastAsia" w:eastAsiaTheme="minorEastAsia"/>
                <w:sz w:val="20"/>
                <w:szCs w:val="20"/>
              </w:rPr>
            </w:pPr>
          </w:p>
        </w:tc>
        <w:tc>
          <w:tcPr>
            <w:tcW w:w="516" w:type="dxa"/>
            <w:vMerge w:val="continue"/>
            <w:vAlign w:val="center"/>
          </w:tcPr>
          <w:p>
            <w:pPr>
              <w:rPr>
                <w:rFonts w:hint="eastAsia" w:asciiTheme="minorEastAsia" w:hAnsiTheme="minorEastAsia" w:eastAsiaTheme="minorEastAsia"/>
                <w:sz w:val="20"/>
                <w:szCs w:val="20"/>
              </w:rPr>
            </w:pPr>
          </w:p>
        </w:tc>
        <w:tc>
          <w:tcPr>
            <w:tcW w:w="550" w:type="dxa"/>
            <w:gridSpan w:val="2"/>
            <w:vMerge w:val="continue"/>
            <w:vAlign w:val="center"/>
          </w:tcPr>
          <w:p>
            <w:pPr>
              <w:rPr>
                <w:rFonts w:hint="eastAsia" w:asciiTheme="minorEastAsia" w:hAnsiTheme="minorEastAsia" w:eastAsiaTheme="minorEastAsia"/>
                <w:sz w:val="20"/>
                <w:szCs w:val="20"/>
              </w:rPr>
            </w:pPr>
          </w:p>
        </w:tc>
        <w:tc>
          <w:tcPr>
            <w:tcW w:w="1166" w:type="dxa"/>
            <w:gridSpan w:val="2"/>
            <w:vMerge w:val="continue"/>
            <w:vAlign w:val="center"/>
          </w:tcPr>
          <w:p>
            <w:pPr>
              <w:rPr>
                <w:rFonts w:hint="eastAsia" w:asciiTheme="minorEastAsia" w:hAnsiTheme="minorEastAsia" w:eastAsiaTheme="minorEastAsia"/>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restart"/>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年度绩效指标完成情况</w:t>
            </w:r>
          </w:p>
        </w:tc>
        <w:tc>
          <w:tcPr>
            <w:tcW w:w="416" w:type="dxa"/>
            <w:vMerge w:val="restart"/>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产出指标</w:t>
            </w:r>
          </w:p>
        </w:tc>
        <w:tc>
          <w:tcPr>
            <w:tcW w:w="616"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数量指标</w:t>
            </w:r>
          </w:p>
        </w:tc>
        <w:tc>
          <w:tcPr>
            <w:tcW w:w="2816" w:type="dxa"/>
            <w:shd w:val="clear" w:color="auto" w:fill="auto"/>
            <w:noWrap/>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涉及乡镇机关及社区数量</w:t>
            </w:r>
          </w:p>
        </w:tc>
        <w:tc>
          <w:tcPr>
            <w:tcW w:w="884"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=8个</w:t>
            </w:r>
          </w:p>
        </w:tc>
        <w:tc>
          <w:tcPr>
            <w:tcW w:w="1142"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=8个</w:t>
            </w:r>
          </w:p>
        </w:tc>
        <w:tc>
          <w:tcPr>
            <w:tcW w:w="516"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10</w:t>
            </w:r>
          </w:p>
        </w:tc>
        <w:tc>
          <w:tcPr>
            <w:tcW w:w="550" w:type="dxa"/>
            <w:gridSpan w:val="2"/>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10</w:t>
            </w:r>
          </w:p>
        </w:tc>
        <w:tc>
          <w:tcPr>
            <w:tcW w:w="1166" w:type="dxa"/>
            <w:gridSpan w:val="2"/>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rPr>
                <w:rFonts w:hint="eastAsia" w:asciiTheme="minorEastAsia" w:hAnsiTheme="minorEastAsia" w:eastAsiaTheme="minorEastAsia"/>
                <w:sz w:val="20"/>
                <w:szCs w:val="20"/>
              </w:rPr>
            </w:pPr>
          </w:p>
        </w:tc>
        <w:tc>
          <w:tcPr>
            <w:tcW w:w="416" w:type="dxa"/>
            <w:vMerge w:val="continue"/>
            <w:vAlign w:val="center"/>
          </w:tcPr>
          <w:p>
            <w:pPr>
              <w:rPr>
                <w:rFonts w:hint="eastAsia" w:asciiTheme="minorEastAsia" w:hAnsiTheme="minorEastAsia" w:eastAsiaTheme="minorEastAsia"/>
                <w:sz w:val="20"/>
                <w:szCs w:val="20"/>
              </w:rPr>
            </w:pPr>
          </w:p>
        </w:tc>
        <w:tc>
          <w:tcPr>
            <w:tcW w:w="616"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数量指标</w:t>
            </w:r>
          </w:p>
        </w:tc>
        <w:tc>
          <w:tcPr>
            <w:tcW w:w="2816" w:type="dxa"/>
            <w:shd w:val="clear" w:color="auto" w:fill="auto"/>
            <w:noWrap/>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购买应急救援及消防物资数量</w:t>
            </w:r>
          </w:p>
        </w:tc>
        <w:tc>
          <w:tcPr>
            <w:tcW w:w="884"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&gt;=50个</w:t>
            </w:r>
          </w:p>
        </w:tc>
        <w:tc>
          <w:tcPr>
            <w:tcW w:w="1142"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=50个</w:t>
            </w:r>
          </w:p>
        </w:tc>
        <w:tc>
          <w:tcPr>
            <w:tcW w:w="516"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10</w:t>
            </w:r>
          </w:p>
        </w:tc>
        <w:tc>
          <w:tcPr>
            <w:tcW w:w="550" w:type="dxa"/>
            <w:gridSpan w:val="2"/>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10</w:t>
            </w:r>
          </w:p>
        </w:tc>
        <w:tc>
          <w:tcPr>
            <w:tcW w:w="1166" w:type="dxa"/>
            <w:gridSpan w:val="2"/>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rPr>
                <w:rFonts w:hint="eastAsia" w:asciiTheme="minorEastAsia" w:hAnsiTheme="minorEastAsia" w:eastAsiaTheme="minorEastAsia"/>
                <w:sz w:val="20"/>
                <w:szCs w:val="20"/>
              </w:rPr>
            </w:pPr>
          </w:p>
        </w:tc>
        <w:tc>
          <w:tcPr>
            <w:tcW w:w="416" w:type="dxa"/>
            <w:vMerge w:val="continue"/>
            <w:vAlign w:val="center"/>
          </w:tcPr>
          <w:p>
            <w:pPr>
              <w:rPr>
                <w:rFonts w:hint="eastAsia" w:asciiTheme="minorEastAsia" w:hAnsiTheme="minorEastAsia" w:eastAsiaTheme="minorEastAsia"/>
                <w:sz w:val="20"/>
                <w:szCs w:val="20"/>
              </w:rPr>
            </w:pPr>
          </w:p>
        </w:tc>
        <w:tc>
          <w:tcPr>
            <w:tcW w:w="616"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数量指标</w:t>
            </w:r>
          </w:p>
        </w:tc>
        <w:tc>
          <w:tcPr>
            <w:tcW w:w="2816" w:type="dxa"/>
            <w:shd w:val="clear" w:color="auto" w:fill="auto"/>
            <w:noWrap/>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安全生产宣传培训次数</w:t>
            </w:r>
          </w:p>
        </w:tc>
        <w:tc>
          <w:tcPr>
            <w:tcW w:w="884"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&gt;=4次</w:t>
            </w:r>
          </w:p>
        </w:tc>
        <w:tc>
          <w:tcPr>
            <w:tcW w:w="1142"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=4次</w:t>
            </w:r>
          </w:p>
        </w:tc>
        <w:tc>
          <w:tcPr>
            <w:tcW w:w="516"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5</w:t>
            </w:r>
          </w:p>
        </w:tc>
        <w:tc>
          <w:tcPr>
            <w:tcW w:w="550" w:type="dxa"/>
            <w:gridSpan w:val="2"/>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5</w:t>
            </w:r>
          </w:p>
        </w:tc>
        <w:tc>
          <w:tcPr>
            <w:tcW w:w="1166" w:type="dxa"/>
            <w:gridSpan w:val="2"/>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rPr>
                <w:rFonts w:hint="eastAsia" w:asciiTheme="minorEastAsia" w:hAnsiTheme="minorEastAsia" w:eastAsiaTheme="minorEastAsia"/>
                <w:sz w:val="20"/>
                <w:szCs w:val="20"/>
              </w:rPr>
            </w:pPr>
          </w:p>
        </w:tc>
        <w:tc>
          <w:tcPr>
            <w:tcW w:w="416" w:type="dxa"/>
            <w:vMerge w:val="continue"/>
            <w:vAlign w:val="center"/>
          </w:tcPr>
          <w:p>
            <w:pPr>
              <w:rPr>
                <w:rFonts w:hint="eastAsia" w:asciiTheme="minorEastAsia" w:hAnsiTheme="minorEastAsia" w:eastAsiaTheme="minorEastAsia"/>
                <w:sz w:val="20"/>
                <w:szCs w:val="20"/>
              </w:rPr>
            </w:pPr>
          </w:p>
        </w:tc>
        <w:tc>
          <w:tcPr>
            <w:tcW w:w="616"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质量指标</w:t>
            </w:r>
          </w:p>
        </w:tc>
        <w:tc>
          <w:tcPr>
            <w:tcW w:w="2816" w:type="dxa"/>
            <w:shd w:val="clear" w:color="auto" w:fill="auto"/>
            <w:noWrap/>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安全隐患整改完成率</w:t>
            </w:r>
          </w:p>
        </w:tc>
        <w:tc>
          <w:tcPr>
            <w:tcW w:w="884"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=100%</w:t>
            </w:r>
          </w:p>
        </w:tc>
        <w:tc>
          <w:tcPr>
            <w:tcW w:w="1142"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=100%</w:t>
            </w:r>
          </w:p>
        </w:tc>
        <w:tc>
          <w:tcPr>
            <w:tcW w:w="516"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5</w:t>
            </w:r>
          </w:p>
        </w:tc>
        <w:tc>
          <w:tcPr>
            <w:tcW w:w="550" w:type="dxa"/>
            <w:gridSpan w:val="2"/>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5</w:t>
            </w:r>
          </w:p>
        </w:tc>
        <w:tc>
          <w:tcPr>
            <w:tcW w:w="1166" w:type="dxa"/>
            <w:gridSpan w:val="2"/>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rPr>
                <w:rFonts w:hint="eastAsia" w:asciiTheme="minorEastAsia" w:hAnsiTheme="minorEastAsia" w:eastAsiaTheme="minorEastAsia"/>
                <w:sz w:val="20"/>
                <w:szCs w:val="20"/>
              </w:rPr>
            </w:pPr>
          </w:p>
        </w:tc>
        <w:tc>
          <w:tcPr>
            <w:tcW w:w="416" w:type="dxa"/>
            <w:vMerge w:val="continue"/>
            <w:vAlign w:val="center"/>
          </w:tcPr>
          <w:p>
            <w:pPr>
              <w:rPr>
                <w:rFonts w:hint="eastAsia" w:asciiTheme="minorEastAsia" w:hAnsiTheme="minorEastAsia" w:eastAsiaTheme="minorEastAsia"/>
                <w:sz w:val="20"/>
                <w:szCs w:val="20"/>
              </w:rPr>
            </w:pPr>
          </w:p>
        </w:tc>
        <w:tc>
          <w:tcPr>
            <w:tcW w:w="616"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时效指标</w:t>
            </w:r>
          </w:p>
        </w:tc>
        <w:tc>
          <w:tcPr>
            <w:tcW w:w="2816" w:type="dxa"/>
            <w:shd w:val="clear" w:color="auto" w:fill="auto"/>
            <w:noWrap/>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安全隐患整改完成时间</w:t>
            </w:r>
          </w:p>
        </w:tc>
        <w:tc>
          <w:tcPr>
            <w:tcW w:w="884"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2023年12月30日</w:t>
            </w:r>
          </w:p>
        </w:tc>
        <w:tc>
          <w:tcPr>
            <w:tcW w:w="1142"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=2023年12月30日</w:t>
            </w:r>
          </w:p>
        </w:tc>
        <w:tc>
          <w:tcPr>
            <w:tcW w:w="516"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10</w:t>
            </w:r>
          </w:p>
        </w:tc>
        <w:tc>
          <w:tcPr>
            <w:tcW w:w="550" w:type="dxa"/>
            <w:gridSpan w:val="2"/>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10</w:t>
            </w:r>
          </w:p>
        </w:tc>
        <w:tc>
          <w:tcPr>
            <w:tcW w:w="1166" w:type="dxa"/>
            <w:gridSpan w:val="2"/>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rPr>
                <w:rFonts w:hint="eastAsia" w:asciiTheme="minorEastAsia" w:hAnsiTheme="minorEastAsia" w:eastAsiaTheme="minorEastAsia"/>
                <w:sz w:val="20"/>
                <w:szCs w:val="20"/>
              </w:rPr>
            </w:pPr>
          </w:p>
        </w:tc>
        <w:tc>
          <w:tcPr>
            <w:tcW w:w="416" w:type="dxa"/>
            <w:vMerge w:val="restart"/>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成本指标</w:t>
            </w:r>
          </w:p>
        </w:tc>
        <w:tc>
          <w:tcPr>
            <w:tcW w:w="616"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经济成本指标</w:t>
            </w:r>
          </w:p>
        </w:tc>
        <w:tc>
          <w:tcPr>
            <w:tcW w:w="2816" w:type="dxa"/>
            <w:shd w:val="clear" w:color="auto" w:fill="auto"/>
            <w:noWrap/>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应急救援及消防物资储备成本</w:t>
            </w:r>
          </w:p>
        </w:tc>
        <w:tc>
          <w:tcPr>
            <w:tcW w:w="884"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&lt;=7万元</w:t>
            </w:r>
          </w:p>
        </w:tc>
        <w:tc>
          <w:tcPr>
            <w:tcW w:w="1142"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=7万元</w:t>
            </w:r>
          </w:p>
        </w:tc>
        <w:tc>
          <w:tcPr>
            <w:tcW w:w="516"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10</w:t>
            </w:r>
          </w:p>
        </w:tc>
        <w:tc>
          <w:tcPr>
            <w:tcW w:w="550" w:type="dxa"/>
            <w:gridSpan w:val="2"/>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10</w:t>
            </w:r>
          </w:p>
        </w:tc>
        <w:tc>
          <w:tcPr>
            <w:tcW w:w="1166" w:type="dxa"/>
            <w:gridSpan w:val="2"/>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rPr>
                <w:rFonts w:hint="eastAsia" w:asciiTheme="minorEastAsia" w:hAnsiTheme="minorEastAsia" w:eastAsiaTheme="minorEastAsia"/>
                <w:sz w:val="20"/>
                <w:szCs w:val="20"/>
              </w:rPr>
            </w:pPr>
          </w:p>
        </w:tc>
        <w:tc>
          <w:tcPr>
            <w:tcW w:w="416" w:type="dxa"/>
            <w:vMerge w:val="continue"/>
            <w:vAlign w:val="center"/>
          </w:tcPr>
          <w:p>
            <w:pPr>
              <w:rPr>
                <w:rFonts w:hint="eastAsia" w:asciiTheme="minorEastAsia" w:hAnsiTheme="minorEastAsia" w:eastAsiaTheme="minorEastAsia"/>
                <w:sz w:val="20"/>
                <w:szCs w:val="20"/>
              </w:rPr>
            </w:pPr>
          </w:p>
        </w:tc>
        <w:tc>
          <w:tcPr>
            <w:tcW w:w="616"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经济成本指标</w:t>
            </w:r>
          </w:p>
        </w:tc>
        <w:tc>
          <w:tcPr>
            <w:tcW w:w="2816" w:type="dxa"/>
            <w:shd w:val="clear" w:color="auto" w:fill="auto"/>
            <w:noWrap/>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安全隐患整改成本</w:t>
            </w:r>
          </w:p>
        </w:tc>
        <w:tc>
          <w:tcPr>
            <w:tcW w:w="884"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&lt;=6万元</w:t>
            </w:r>
          </w:p>
        </w:tc>
        <w:tc>
          <w:tcPr>
            <w:tcW w:w="1142"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=6万元</w:t>
            </w:r>
          </w:p>
        </w:tc>
        <w:tc>
          <w:tcPr>
            <w:tcW w:w="516"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5</w:t>
            </w:r>
          </w:p>
        </w:tc>
        <w:tc>
          <w:tcPr>
            <w:tcW w:w="550" w:type="dxa"/>
            <w:gridSpan w:val="2"/>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5</w:t>
            </w:r>
          </w:p>
        </w:tc>
        <w:tc>
          <w:tcPr>
            <w:tcW w:w="1166" w:type="dxa"/>
            <w:gridSpan w:val="2"/>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rPr>
                <w:rFonts w:hint="eastAsia" w:asciiTheme="minorEastAsia" w:hAnsiTheme="minorEastAsia" w:eastAsiaTheme="minorEastAsia"/>
                <w:sz w:val="20"/>
                <w:szCs w:val="20"/>
              </w:rPr>
            </w:pPr>
          </w:p>
        </w:tc>
        <w:tc>
          <w:tcPr>
            <w:tcW w:w="416" w:type="dxa"/>
            <w:vMerge w:val="continue"/>
            <w:vAlign w:val="center"/>
          </w:tcPr>
          <w:p>
            <w:pPr>
              <w:rPr>
                <w:rFonts w:hint="eastAsia" w:asciiTheme="minorEastAsia" w:hAnsiTheme="minorEastAsia" w:eastAsiaTheme="minorEastAsia"/>
                <w:sz w:val="20"/>
                <w:szCs w:val="20"/>
              </w:rPr>
            </w:pPr>
          </w:p>
        </w:tc>
        <w:tc>
          <w:tcPr>
            <w:tcW w:w="616"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经济成本指标</w:t>
            </w:r>
          </w:p>
        </w:tc>
        <w:tc>
          <w:tcPr>
            <w:tcW w:w="2816" w:type="dxa"/>
            <w:shd w:val="clear" w:color="auto" w:fill="auto"/>
            <w:noWrap/>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安全生产宣传培训成本</w:t>
            </w:r>
          </w:p>
        </w:tc>
        <w:tc>
          <w:tcPr>
            <w:tcW w:w="884"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&lt;=2万元</w:t>
            </w:r>
          </w:p>
        </w:tc>
        <w:tc>
          <w:tcPr>
            <w:tcW w:w="1142"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=2万元</w:t>
            </w:r>
          </w:p>
        </w:tc>
        <w:tc>
          <w:tcPr>
            <w:tcW w:w="516"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5</w:t>
            </w:r>
          </w:p>
        </w:tc>
        <w:tc>
          <w:tcPr>
            <w:tcW w:w="550" w:type="dxa"/>
            <w:gridSpan w:val="2"/>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5</w:t>
            </w:r>
          </w:p>
        </w:tc>
        <w:tc>
          <w:tcPr>
            <w:tcW w:w="1166" w:type="dxa"/>
            <w:gridSpan w:val="2"/>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rPr>
                <w:rFonts w:hint="eastAsia" w:asciiTheme="minorEastAsia" w:hAnsiTheme="minorEastAsia" w:eastAsiaTheme="minorEastAsia"/>
                <w:sz w:val="20"/>
                <w:szCs w:val="20"/>
              </w:rPr>
            </w:pPr>
          </w:p>
        </w:tc>
        <w:tc>
          <w:tcPr>
            <w:tcW w:w="416" w:type="dxa"/>
            <w:vMerge w:val="continue"/>
            <w:vAlign w:val="center"/>
          </w:tcPr>
          <w:p>
            <w:pPr>
              <w:rPr>
                <w:rFonts w:hint="eastAsia" w:asciiTheme="minorEastAsia" w:hAnsiTheme="minorEastAsia" w:eastAsiaTheme="minorEastAsia"/>
                <w:sz w:val="20"/>
                <w:szCs w:val="20"/>
              </w:rPr>
            </w:pPr>
          </w:p>
        </w:tc>
        <w:tc>
          <w:tcPr>
            <w:tcW w:w="616"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社会成本指标</w:t>
            </w:r>
          </w:p>
        </w:tc>
        <w:tc>
          <w:tcPr>
            <w:tcW w:w="2816" w:type="dxa"/>
            <w:shd w:val="clear" w:color="auto" w:fill="auto"/>
            <w:noWrap/>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　</w:t>
            </w:r>
          </w:p>
        </w:tc>
        <w:tc>
          <w:tcPr>
            <w:tcW w:w="884"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　</w:t>
            </w:r>
          </w:p>
        </w:tc>
        <w:tc>
          <w:tcPr>
            <w:tcW w:w="1142"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　</w:t>
            </w:r>
          </w:p>
        </w:tc>
        <w:tc>
          <w:tcPr>
            <w:tcW w:w="516"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　</w:t>
            </w:r>
          </w:p>
        </w:tc>
        <w:tc>
          <w:tcPr>
            <w:tcW w:w="550" w:type="dxa"/>
            <w:gridSpan w:val="2"/>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　</w:t>
            </w:r>
          </w:p>
        </w:tc>
        <w:tc>
          <w:tcPr>
            <w:tcW w:w="1166" w:type="dxa"/>
            <w:gridSpan w:val="2"/>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rPr>
                <w:rFonts w:hint="eastAsia" w:asciiTheme="minorEastAsia" w:hAnsiTheme="minorEastAsia" w:eastAsiaTheme="minorEastAsia"/>
                <w:sz w:val="20"/>
                <w:szCs w:val="20"/>
              </w:rPr>
            </w:pPr>
          </w:p>
        </w:tc>
        <w:tc>
          <w:tcPr>
            <w:tcW w:w="416" w:type="dxa"/>
            <w:vMerge w:val="continue"/>
            <w:vAlign w:val="center"/>
          </w:tcPr>
          <w:p>
            <w:pPr>
              <w:rPr>
                <w:rFonts w:hint="eastAsia" w:asciiTheme="minorEastAsia" w:hAnsiTheme="minorEastAsia" w:eastAsiaTheme="minorEastAsia"/>
                <w:sz w:val="20"/>
                <w:szCs w:val="20"/>
              </w:rPr>
            </w:pPr>
          </w:p>
        </w:tc>
        <w:tc>
          <w:tcPr>
            <w:tcW w:w="616"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生态环境成本指标</w:t>
            </w:r>
          </w:p>
        </w:tc>
        <w:tc>
          <w:tcPr>
            <w:tcW w:w="2816" w:type="dxa"/>
            <w:shd w:val="clear" w:color="auto" w:fill="auto"/>
            <w:noWrap/>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　</w:t>
            </w:r>
          </w:p>
        </w:tc>
        <w:tc>
          <w:tcPr>
            <w:tcW w:w="884"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　</w:t>
            </w:r>
          </w:p>
        </w:tc>
        <w:tc>
          <w:tcPr>
            <w:tcW w:w="1142"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　</w:t>
            </w:r>
          </w:p>
        </w:tc>
        <w:tc>
          <w:tcPr>
            <w:tcW w:w="516"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　</w:t>
            </w:r>
          </w:p>
        </w:tc>
        <w:tc>
          <w:tcPr>
            <w:tcW w:w="550" w:type="dxa"/>
            <w:gridSpan w:val="2"/>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　</w:t>
            </w:r>
          </w:p>
        </w:tc>
        <w:tc>
          <w:tcPr>
            <w:tcW w:w="1166" w:type="dxa"/>
            <w:gridSpan w:val="2"/>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rPr>
                <w:rFonts w:hint="eastAsia" w:asciiTheme="minorEastAsia" w:hAnsiTheme="minorEastAsia" w:eastAsiaTheme="minorEastAsia"/>
                <w:sz w:val="20"/>
                <w:szCs w:val="20"/>
              </w:rPr>
            </w:pPr>
          </w:p>
        </w:tc>
        <w:tc>
          <w:tcPr>
            <w:tcW w:w="416" w:type="dxa"/>
            <w:vMerge w:val="restart"/>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效益指标</w:t>
            </w:r>
          </w:p>
        </w:tc>
        <w:tc>
          <w:tcPr>
            <w:tcW w:w="616"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经济效益指标</w:t>
            </w:r>
          </w:p>
        </w:tc>
        <w:tc>
          <w:tcPr>
            <w:tcW w:w="2816" w:type="dxa"/>
            <w:shd w:val="clear" w:color="auto" w:fill="auto"/>
            <w:noWrap/>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　</w:t>
            </w:r>
          </w:p>
        </w:tc>
        <w:tc>
          <w:tcPr>
            <w:tcW w:w="884"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　</w:t>
            </w:r>
          </w:p>
        </w:tc>
        <w:tc>
          <w:tcPr>
            <w:tcW w:w="1142"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　</w:t>
            </w:r>
          </w:p>
        </w:tc>
        <w:tc>
          <w:tcPr>
            <w:tcW w:w="516"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　</w:t>
            </w:r>
          </w:p>
        </w:tc>
        <w:tc>
          <w:tcPr>
            <w:tcW w:w="550" w:type="dxa"/>
            <w:gridSpan w:val="2"/>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　</w:t>
            </w:r>
          </w:p>
        </w:tc>
        <w:tc>
          <w:tcPr>
            <w:tcW w:w="1166" w:type="dxa"/>
            <w:gridSpan w:val="2"/>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rPr>
                <w:rFonts w:hint="eastAsia" w:asciiTheme="minorEastAsia" w:hAnsiTheme="minorEastAsia" w:eastAsiaTheme="minorEastAsia"/>
                <w:sz w:val="20"/>
                <w:szCs w:val="20"/>
              </w:rPr>
            </w:pPr>
          </w:p>
        </w:tc>
        <w:tc>
          <w:tcPr>
            <w:tcW w:w="416" w:type="dxa"/>
            <w:vMerge w:val="continue"/>
            <w:vAlign w:val="center"/>
          </w:tcPr>
          <w:p>
            <w:pPr>
              <w:rPr>
                <w:rFonts w:hint="eastAsia" w:asciiTheme="minorEastAsia" w:hAnsiTheme="minorEastAsia" w:eastAsiaTheme="minorEastAsia"/>
                <w:sz w:val="20"/>
                <w:szCs w:val="20"/>
              </w:rPr>
            </w:pPr>
          </w:p>
        </w:tc>
        <w:tc>
          <w:tcPr>
            <w:tcW w:w="616"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社会效益指标</w:t>
            </w:r>
          </w:p>
        </w:tc>
        <w:tc>
          <w:tcPr>
            <w:tcW w:w="2816" w:type="dxa"/>
            <w:shd w:val="clear" w:color="auto" w:fill="auto"/>
            <w:noWrap/>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安全事故降低率</w:t>
            </w:r>
          </w:p>
        </w:tc>
        <w:tc>
          <w:tcPr>
            <w:tcW w:w="884"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&gt;=5%</w:t>
            </w:r>
          </w:p>
        </w:tc>
        <w:tc>
          <w:tcPr>
            <w:tcW w:w="1142"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=5%</w:t>
            </w:r>
          </w:p>
        </w:tc>
        <w:tc>
          <w:tcPr>
            <w:tcW w:w="516"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10</w:t>
            </w:r>
          </w:p>
        </w:tc>
        <w:tc>
          <w:tcPr>
            <w:tcW w:w="550" w:type="dxa"/>
            <w:gridSpan w:val="2"/>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10</w:t>
            </w:r>
          </w:p>
        </w:tc>
        <w:tc>
          <w:tcPr>
            <w:tcW w:w="1166" w:type="dxa"/>
            <w:gridSpan w:val="2"/>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rPr>
                <w:rFonts w:hint="eastAsia" w:asciiTheme="minorEastAsia" w:hAnsiTheme="minorEastAsia" w:eastAsiaTheme="minorEastAsia"/>
                <w:sz w:val="20"/>
                <w:szCs w:val="20"/>
              </w:rPr>
            </w:pPr>
          </w:p>
        </w:tc>
        <w:tc>
          <w:tcPr>
            <w:tcW w:w="416" w:type="dxa"/>
            <w:vMerge w:val="continue"/>
            <w:vAlign w:val="center"/>
          </w:tcPr>
          <w:p>
            <w:pPr>
              <w:rPr>
                <w:rFonts w:hint="eastAsia" w:asciiTheme="minorEastAsia" w:hAnsiTheme="minorEastAsia" w:eastAsiaTheme="minorEastAsia"/>
                <w:sz w:val="20"/>
                <w:szCs w:val="20"/>
              </w:rPr>
            </w:pPr>
          </w:p>
        </w:tc>
        <w:tc>
          <w:tcPr>
            <w:tcW w:w="616"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社会效益指标</w:t>
            </w:r>
          </w:p>
        </w:tc>
        <w:tc>
          <w:tcPr>
            <w:tcW w:w="2816" w:type="dxa"/>
            <w:shd w:val="clear" w:color="auto" w:fill="auto"/>
            <w:noWrap/>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安全生产政策宣传覆盖率</w:t>
            </w:r>
          </w:p>
        </w:tc>
        <w:tc>
          <w:tcPr>
            <w:tcW w:w="884"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=100%</w:t>
            </w:r>
          </w:p>
        </w:tc>
        <w:tc>
          <w:tcPr>
            <w:tcW w:w="1142"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=100%</w:t>
            </w:r>
          </w:p>
        </w:tc>
        <w:tc>
          <w:tcPr>
            <w:tcW w:w="516"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10</w:t>
            </w:r>
          </w:p>
        </w:tc>
        <w:tc>
          <w:tcPr>
            <w:tcW w:w="550" w:type="dxa"/>
            <w:gridSpan w:val="2"/>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10</w:t>
            </w:r>
          </w:p>
        </w:tc>
        <w:tc>
          <w:tcPr>
            <w:tcW w:w="1166" w:type="dxa"/>
            <w:gridSpan w:val="2"/>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rPr>
                <w:rFonts w:hint="eastAsia" w:asciiTheme="minorEastAsia" w:hAnsiTheme="minorEastAsia" w:eastAsiaTheme="minorEastAsia"/>
                <w:sz w:val="20"/>
                <w:szCs w:val="20"/>
              </w:rPr>
            </w:pPr>
          </w:p>
        </w:tc>
        <w:tc>
          <w:tcPr>
            <w:tcW w:w="416" w:type="dxa"/>
            <w:vMerge w:val="continue"/>
            <w:vAlign w:val="center"/>
          </w:tcPr>
          <w:p>
            <w:pPr>
              <w:rPr>
                <w:rFonts w:hint="eastAsia" w:asciiTheme="minorEastAsia" w:hAnsiTheme="minorEastAsia" w:eastAsiaTheme="minorEastAsia"/>
                <w:sz w:val="20"/>
                <w:szCs w:val="20"/>
              </w:rPr>
            </w:pPr>
          </w:p>
        </w:tc>
        <w:tc>
          <w:tcPr>
            <w:tcW w:w="616"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生态效益指标</w:t>
            </w:r>
          </w:p>
        </w:tc>
        <w:tc>
          <w:tcPr>
            <w:tcW w:w="2816" w:type="dxa"/>
            <w:shd w:val="clear" w:color="auto" w:fill="auto"/>
            <w:noWrap/>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　</w:t>
            </w:r>
          </w:p>
        </w:tc>
        <w:tc>
          <w:tcPr>
            <w:tcW w:w="884"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　</w:t>
            </w:r>
          </w:p>
        </w:tc>
        <w:tc>
          <w:tcPr>
            <w:tcW w:w="1142"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　</w:t>
            </w:r>
          </w:p>
        </w:tc>
        <w:tc>
          <w:tcPr>
            <w:tcW w:w="516"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　</w:t>
            </w:r>
          </w:p>
        </w:tc>
        <w:tc>
          <w:tcPr>
            <w:tcW w:w="550" w:type="dxa"/>
            <w:gridSpan w:val="2"/>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　</w:t>
            </w:r>
          </w:p>
        </w:tc>
        <w:tc>
          <w:tcPr>
            <w:tcW w:w="1166" w:type="dxa"/>
            <w:gridSpan w:val="2"/>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rPr>
                <w:rFonts w:hint="eastAsia" w:asciiTheme="minorEastAsia" w:hAnsiTheme="minorEastAsia" w:eastAsiaTheme="minorEastAsia"/>
                <w:sz w:val="20"/>
                <w:szCs w:val="20"/>
              </w:rPr>
            </w:pPr>
          </w:p>
        </w:tc>
        <w:tc>
          <w:tcPr>
            <w:tcW w:w="416"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满意度指标</w:t>
            </w:r>
          </w:p>
        </w:tc>
        <w:tc>
          <w:tcPr>
            <w:tcW w:w="616"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满意度指标</w:t>
            </w:r>
          </w:p>
        </w:tc>
        <w:tc>
          <w:tcPr>
            <w:tcW w:w="2816" w:type="dxa"/>
            <w:shd w:val="clear" w:color="auto" w:fill="auto"/>
            <w:noWrap/>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村民满意度</w:t>
            </w:r>
          </w:p>
        </w:tc>
        <w:tc>
          <w:tcPr>
            <w:tcW w:w="884"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&gt;=95%</w:t>
            </w:r>
          </w:p>
        </w:tc>
        <w:tc>
          <w:tcPr>
            <w:tcW w:w="1142"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　</w:t>
            </w:r>
          </w:p>
        </w:tc>
        <w:tc>
          <w:tcPr>
            <w:tcW w:w="516"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10</w:t>
            </w:r>
          </w:p>
        </w:tc>
        <w:tc>
          <w:tcPr>
            <w:tcW w:w="550" w:type="dxa"/>
            <w:gridSpan w:val="2"/>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10</w:t>
            </w:r>
          </w:p>
        </w:tc>
        <w:tc>
          <w:tcPr>
            <w:tcW w:w="1166" w:type="dxa"/>
            <w:gridSpan w:val="2"/>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6290" w:type="dxa"/>
            <w:gridSpan w:val="6"/>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总分</w:t>
            </w:r>
          </w:p>
        </w:tc>
        <w:tc>
          <w:tcPr>
            <w:tcW w:w="516" w:type="dxa"/>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100</w:t>
            </w:r>
          </w:p>
        </w:tc>
        <w:tc>
          <w:tcPr>
            <w:tcW w:w="550" w:type="dxa"/>
            <w:gridSpan w:val="2"/>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100分</w:t>
            </w:r>
          </w:p>
        </w:tc>
        <w:tc>
          <w:tcPr>
            <w:tcW w:w="1166" w:type="dxa"/>
            <w:gridSpan w:val="2"/>
            <w:shd w:val="clear" w:color="auto" w:fill="auto"/>
            <w:vAlign w:val="center"/>
          </w:tcPr>
          <w:p>
            <w:pP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　</w:t>
            </w:r>
          </w:p>
        </w:tc>
      </w:tr>
    </w:tbl>
    <w:p>
      <w:pPr>
        <w:ind w:firstLine="640" w:firstLineChars="200"/>
        <w:jc w:val="left"/>
        <w:rPr>
          <w:rFonts w:hint="eastAsia" w:ascii="仿宋_GB2312" w:hAnsi="仿宋_GB2312" w:eastAsia="仿宋_GB2312" w:cs="仿宋_GB2312"/>
          <w:kern w:val="0"/>
          <w:sz w:val="32"/>
          <w:szCs w:val="32"/>
          <w:lang w:eastAsia="zh-Hans"/>
        </w:rPr>
      </w:pPr>
    </w:p>
    <w:tbl>
      <w:tblPr>
        <w:tblStyle w:val="9"/>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7"/>
        <w:gridCol w:w="416"/>
        <w:gridCol w:w="648"/>
        <w:gridCol w:w="1179"/>
        <w:gridCol w:w="850"/>
        <w:gridCol w:w="851"/>
        <w:gridCol w:w="1278"/>
        <w:gridCol w:w="63"/>
        <w:gridCol w:w="499"/>
        <w:gridCol w:w="736"/>
        <w:gridCol w:w="771"/>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8522" w:type="dxa"/>
            <w:gridSpan w:val="12"/>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522" w:type="dxa"/>
            <w:gridSpan w:val="1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89" w:type="dxa"/>
            <w:gridSpan w:val="10"/>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2023年残疾人两项补贴资金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677"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木垒县木垒镇政府</w:t>
            </w:r>
          </w:p>
        </w:tc>
        <w:tc>
          <w:tcPr>
            <w:tcW w:w="212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883"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833"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6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212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50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1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3" w:type="dxa"/>
            <w:gridSpan w:val="2"/>
            <w:vMerge w:val="continue"/>
            <w:vAlign w:val="center"/>
          </w:tcPr>
          <w:p>
            <w:pPr>
              <w:widowControl/>
              <w:jc w:val="left"/>
              <w:rPr>
                <w:rFonts w:hint="eastAsia" w:ascii="宋体" w:hAnsi="宋体" w:cs="宋体"/>
                <w:color w:val="000000"/>
                <w:kern w:val="0"/>
                <w:sz w:val="20"/>
                <w:szCs w:val="20"/>
              </w:rPr>
            </w:pPr>
          </w:p>
        </w:tc>
        <w:tc>
          <w:tcPr>
            <w:tcW w:w="6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7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60.00</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11.44</w:t>
            </w:r>
          </w:p>
        </w:tc>
        <w:tc>
          <w:tcPr>
            <w:tcW w:w="212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11.44</w:t>
            </w:r>
          </w:p>
        </w:tc>
        <w:tc>
          <w:tcPr>
            <w:tcW w:w="5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0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1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3" w:type="dxa"/>
            <w:gridSpan w:val="2"/>
            <w:vMerge w:val="continue"/>
            <w:vAlign w:val="center"/>
          </w:tcPr>
          <w:p>
            <w:pPr>
              <w:widowControl/>
              <w:jc w:val="left"/>
              <w:rPr>
                <w:rFonts w:hint="eastAsia" w:ascii="宋体" w:hAnsi="宋体" w:cs="宋体"/>
                <w:color w:val="000000"/>
                <w:kern w:val="0"/>
                <w:sz w:val="20"/>
                <w:szCs w:val="20"/>
              </w:rPr>
            </w:pPr>
          </w:p>
        </w:tc>
        <w:tc>
          <w:tcPr>
            <w:tcW w:w="6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7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60.00</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11.44</w:t>
            </w:r>
          </w:p>
        </w:tc>
        <w:tc>
          <w:tcPr>
            <w:tcW w:w="212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11.44</w:t>
            </w:r>
          </w:p>
        </w:tc>
        <w:tc>
          <w:tcPr>
            <w:tcW w:w="5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0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3" w:type="dxa"/>
            <w:gridSpan w:val="2"/>
            <w:vMerge w:val="continue"/>
            <w:vAlign w:val="center"/>
          </w:tcPr>
          <w:p>
            <w:pPr>
              <w:widowControl/>
              <w:jc w:val="left"/>
              <w:rPr>
                <w:rFonts w:hint="eastAsia" w:ascii="宋体" w:hAnsi="宋体" w:cs="宋体"/>
                <w:color w:val="000000"/>
                <w:kern w:val="0"/>
                <w:sz w:val="20"/>
                <w:szCs w:val="20"/>
              </w:rPr>
            </w:pPr>
          </w:p>
        </w:tc>
        <w:tc>
          <w:tcPr>
            <w:tcW w:w="648"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1179"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850"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2129"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5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0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093"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5012"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3093"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计划使用2023年残疾人两项补贴资金为木垒镇200名残疾人发放残疾人两项补贴，其中生活补贴30人，标准110元每月每人，护理补贴170人，标准110元每月每人，保障残疾人基本生活。</w:t>
            </w:r>
          </w:p>
        </w:tc>
        <w:tc>
          <w:tcPr>
            <w:tcW w:w="5012" w:type="dxa"/>
            <w:gridSpan w:val="7"/>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本项目已完成如下工作：享受残疾人两项补贴人数200人，补贴标准110元/人。截至5月30日支付11.44万元，保障残疾人基本生活。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4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79"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5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51"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1341"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235"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585"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48" w:type="dxa"/>
            <w:vMerge w:val="continue"/>
            <w:vAlign w:val="center"/>
          </w:tcPr>
          <w:p>
            <w:pPr>
              <w:widowControl/>
              <w:jc w:val="left"/>
              <w:rPr>
                <w:rFonts w:hint="eastAsia" w:ascii="宋体" w:hAnsi="宋体" w:cs="宋体"/>
                <w:color w:val="000000"/>
                <w:kern w:val="0"/>
                <w:sz w:val="20"/>
                <w:szCs w:val="20"/>
              </w:rPr>
            </w:pPr>
          </w:p>
        </w:tc>
        <w:tc>
          <w:tcPr>
            <w:tcW w:w="1179" w:type="dxa"/>
            <w:vMerge w:val="continue"/>
            <w:vAlign w:val="center"/>
          </w:tcPr>
          <w:p>
            <w:pPr>
              <w:widowControl/>
              <w:jc w:val="left"/>
              <w:rPr>
                <w:rFonts w:hint="eastAsia" w:ascii="宋体" w:hAnsi="宋体" w:cs="宋体"/>
                <w:color w:val="000000"/>
                <w:kern w:val="0"/>
                <w:sz w:val="20"/>
                <w:szCs w:val="20"/>
              </w:rPr>
            </w:pPr>
          </w:p>
        </w:tc>
        <w:tc>
          <w:tcPr>
            <w:tcW w:w="850" w:type="dxa"/>
            <w:vMerge w:val="continue"/>
            <w:vAlign w:val="center"/>
          </w:tcPr>
          <w:p>
            <w:pPr>
              <w:widowControl/>
              <w:jc w:val="left"/>
              <w:rPr>
                <w:rFonts w:hint="eastAsia" w:ascii="宋体" w:hAnsi="宋体" w:cs="宋体"/>
                <w:color w:val="000000"/>
                <w:kern w:val="0"/>
                <w:sz w:val="20"/>
                <w:szCs w:val="20"/>
              </w:rPr>
            </w:pPr>
          </w:p>
        </w:tc>
        <w:tc>
          <w:tcPr>
            <w:tcW w:w="851" w:type="dxa"/>
            <w:vMerge w:val="continue"/>
            <w:vAlign w:val="center"/>
          </w:tcPr>
          <w:p>
            <w:pPr>
              <w:widowControl/>
              <w:jc w:val="left"/>
              <w:rPr>
                <w:rFonts w:hint="eastAsia" w:ascii="宋体" w:hAnsi="宋体" w:cs="宋体"/>
                <w:color w:val="000000"/>
                <w:kern w:val="0"/>
                <w:sz w:val="20"/>
                <w:szCs w:val="20"/>
              </w:rPr>
            </w:pPr>
          </w:p>
        </w:tc>
        <w:tc>
          <w:tcPr>
            <w:tcW w:w="1341" w:type="dxa"/>
            <w:gridSpan w:val="2"/>
            <w:vMerge w:val="continue"/>
            <w:vAlign w:val="center"/>
          </w:tcPr>
          <w:p>
            <w:pPr>
              <w:widowControl/>
              <w:jc w:val="left"/>
              <w:rPr>
                <w:rFonts w:hint="eastAsia" w:ascii="宋体" w:hAnsi="宋体" w:cs="宋体"/>
                <w:color w:val="000000"/>
                <w:kern w:val="0"/>
                <w:sz w:val="20"/>
                <w:szCs w:val="20"/>
              </w:rPr>
            </w:pPr>
          </w:p>
        </w:tc>
        <w:tc>
          <w:tcPr>
            <w:tcW w:w="1235" w:type="dxa"/>
            <w:gridSpan w:val="2"/>
            <w:vMerge w:val="continue"/>
            <w:vAlign w:val="center"/>
          </w:tcPr>
          <w:p>
            <w:pPr>
              <w:widowControl/>
              <w:jc w:val="left"/>
              <w:rPr>
                <w:rFonts w:hint="eastAsia" w:ascii="宋体" w:hAnsi="宋体" w:cs="宋体"/>
                <w:color w:val="000000"/>
                <w:kern w:val="0"/>
                <w:sz w:val="20"/>
                <w:szCs w:val="20"/>
              </w:rPr>
            </w:pPr>
          </w:p>
        </w:tc>
        <w:tc>
          <w:tcPr>
            <w:tcW w:w="1585"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79"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享受残疾人两项补贴人数</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&gt;=200人</w:t>
            </w:r>
          </w:p>
        </w:tc>
        <w:tc>
          <w:tcPr>
            <w:tcW w:w="85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=200人</w:t>
            </w:r>
          </w:p>
        </w:tc>
        <w:tc>
          <w:tcPr>
            <w:tcW w:w="134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3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8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79"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符合政策的残疾人纳入保障范围覆盖率</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&gt;=98%</w:t>
            </w:r>
          </w:p>
        </w:tc>
        <w:tc>
          <w:tcPr>
            <w:tcW w:w="85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w:t>
            </w:r>
          </w:p>
        </w:tc>
        <w:tc>
          <w:tcPr>
            <w:tcW w:w="134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3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8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79"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核查入户率</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&gt;=60%</w:t>
            </w:r>
          </w:p>
        </w:tc>
        <w:tc>
          <w:tcPr>
            <w:tcW w:w="85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w:t>
            </w:r>
          </w:p>
        </w:tc>
        <w:tc>
          <w:tcPr>
            <w:tcW w:w="134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3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8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79"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补助标准执行率</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34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3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8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79"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34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3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8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79"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≤110元/人</w:t>
            </w:r>
          </w:p>
        </w:tc>
        <w:tc>
          <w:tcPr>
            <w:tcW w:w="85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34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3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8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79"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享受补贴人员投诉率</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&lt;=0%</w:t>
            </w:r>
          </w:p>
        </w:tc>
        <w:tc>
          <w:tcPr>
            <w:tcW w:w="85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34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3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8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79"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4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3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8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79"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4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3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8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79"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残疾人权益保障率</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34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3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58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79"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4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3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8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79"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残疾人满意度</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5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34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3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8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361"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134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3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58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仿宋_GB2312" w:hAnsi="仿宋_GB2312" w:eastAsia="仿宋_GB2312" w:cs="仿宋_GB2312"/>
          <w:kern w:val="0"/>
          <w:sz w:val="32"/>
          <w:szCs w:val="32"/>
          <w:lang w:eastAsia="zh-Hans"/>
        </w:rPr>
      </w:pPr>
    </w:p>
    <w:tbl>
      <w:tblPr>
        <w:tblStyle w:val="9"/>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836"/>
        <w:gridCol w:w="992"/>
        <w:gridCol w:w="957"/>
        <w:gridCol w:w="716"/>
        <w:gridCol w:w="1040"/>
        <w:gridCol w:w="471"/>
        <w:gridCol w:w="434"/>
        <w:gridCol w:w="716"/>
        <w:gridCol w:w="724"/>
        <w:gridCol w:w="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8522" w:type="dxa"/>
            <w:gridSpan w:val="12"/>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522" w:type="dxa"/>
            <w:gridSpan w:val="1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90" w:type="dxa"/>
            <w:gridSpan w:val="10"/>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2023年度“为民办实事”驻村工作工作队经费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785"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木垒县木垒镇政府</w:t>
            </w:r>
          </w:p>
        </w:tc>
        <w:tc>
          <w:tcPr>
            <w:tcW w:w="175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149"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83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95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75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90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44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8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95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175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90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4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8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95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175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90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4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836"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992"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957"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756"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90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4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201"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905"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3201"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依据昌州财预【2023】16号，计划使用“为民办实事”经费5万元。</w:t>
            </w:r>
          </w:p>
        </w:tc>
        <w:tc>
          <w:tcPr>
            <w:tcW w:w="4905" w:type="dxa"/>
            <w:gridSpan w:val="7"/>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本项目已完成如下工作：涉及行政社区数量1个，购买办公用品次数2次，表彰优秀居民及优秀党员人数60人，全年资金5万元，已全部使用完。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83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992"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5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1511"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150"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528"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36" w:type="dxa"/>
            <w:vMerge w:val="continue"/>
            <w:vAlign w:val="center"/>
          </w:tcPr>
          <w:p>
            <w:pPr>
              <w:widowControl/>
              <w:jc w:val="left"/>
              <w:rPr>
                <w:rFonts w:hint="eastAsia" w:ascii="宋体" w:hAnsi="宋体" w:cs="宋体"/>
                <w:color w:val="000000"/>
                <w:kern w:val="0"/>
                <w:sz w:val="20"/>
                <w:szCs w:val="20"/>
              </w:rPr>
            </w:pPr>
          </w:p>
        </w:tc>
        <w:tc>
          <w:tcPr>
            <w:tcW w:w="992" w:type="dxa"/>
            <w:vMerge w:val="continue"/>
            <w:vAlign w:val="center"/>
          </w:tcPr>
          <w:p>
            <w:pPr>
              <w:widowControl/>
              <w:jc w:val="left"/>
              <w:rPr>
                <w:rFonts w:hint="eastAsia" w:ascii="宋体" w:hAnsi="宋体" w:cs="宋体"/>
                <w:color w:val="000000"/>
                <w:kern w:val="0"/>
                <w:sz w:val="20"/>
                <w:szCs w:val="20"/>
              </w:rPr>
            </w:pPr>
          </w:p>
        </w:tc>
        <w:tc>
          <w:tcPr>
            <w:tcW w:w="957" w:type="dxa"/>
            <w:vMerge w:val="continue"/>
            <w:vAlign w:val="center"/>
          </w:tcPr>
          <w:p>
            <w:pPr>
              <w:widowControl/>
              <w:jc w:val="left"/>
              <w:rPr>
                <w:rFonts w:hint="eastAsia" w:ascii="宋体" w:hAnsi="宋体" w:cs="宋体"/>
                <w:color w:val="000000"/>
                <w:kern w:val="0"/>
                <w:sz w:val="20"/>
                <w:szCs w:val="20"/>
              </w:rPr>
            </w:pPr>
          </w:p>
        </w:tc>
        <w:tc>
          <w:tcPr>
            <w:tcW w:w="716" w:type="dxa"/>
            <w:vMerge w:val="continue"/>
            <w:vAlign w:val="center"/>
          </w:tcPr>
          <w:p>
            <w:pPr>
              <w:widowControl/>
              <w:jc w:val="left"/>
              <w:rPr>
                <w:rFonts w:hint="eastAsia" w:ascii="宋体" w:hAnsi="宋体" w:cs="宋体"/>
                <w:color w:val="000000"/>
                <w:kern w:val="0"/>
                <w:sz w:val="20"/>
                <w:szCs w:val="20"/>
              </w:rPr>
            </w:pPr>
          </w:p>
        </w:tc>
        <w:tc>
          <w:tcPr>
            <w:tcW w:w="1511" w:type="dxa"/>
            <w:gridSpan w:val="2"/>
            <w:vMerge w:val="continue"/>
            <w:vAlign w:val="center"/>
          </w:tcPr>
          <w:p>
            <w:pPr>
              <w:widowControl/>
              <w:jc w:val="left"/>
              <w:rPr>
                <w:rFonts w:hint="eastAsia" w:ascii="宋体" w:hAnsi="宋体" w:cs="宋体"/>
                <w:color w:val="000000"/>
                <w:kern w:val="0"/>
                <w:sz w:val="20"/>
                <w:szCs w:val="20"/>
              </w:rPr>
            </w:pPr>
          </w:p>
        </w:tc>
        <w:tc>
          <w:tcPr>
            <w:tcW w:w="1150" w:type="dxa"/>
            <w:gridSpan w:val="2"/>
            <w:vMerge w:val="continue"/>
            <w:vAlign w:val="center"/>
          </w:tcPr>
          <w:p>
            <w:pPr>
              <w:widowControl/>
              <w:jc w:val="left"/>
              <w:rPr>
                <w:rFonts w:hint="eastAsia" w:ascii="宋体" w:hAnsi="宋体" w:cs="宋体"/>
                <w:color w:val="000000"/>
                <w:kern w:val="0"/>
                <w:sz w:val="20"/>
                <w:szCs w:val="20"/>
              </w:rPr>
            </w:pPr>
          </w:p>
        </w:tc>
        <w:tc>
          <w:tcPr>
            <w:tcW w:w="1528"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8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92"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涉及行政社区数量</w:t>
            </w:r>
          </w:p>
        </w:tc>
        <w:tc>
          <w:tcPr>
            <w:tcW w:w="95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151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2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92"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购买办公用品次数</w:t>
            </w:r>
          </w:p>
        </w:tc>
        <w:tc>
          <w:tcPr>
            <w:tcW w:w="95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&gt;=2次</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=2次</w:t>
            </w:r>
          </w:p>
        </w:tc>
        <w:tc>
          <w:tcPr>
            <w:tcW w:w="151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2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92"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表彰优秀居民及优秀党员人数</w:t>
            </w:r>
          </w:p>
        </w:tc>
        <w:tc>
          <w:tcPr>
            <w:tcW w:w="95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&gt;=60人</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=60人</w:t>
            </w:r>
          </w:p>
        </w:tc>
        <w:tc>
          <w:tcPr>
            <w:tcW w:w="151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2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92"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各项工作完成率</w:t>
            </w:r>
          </w:p>
        </w:tc>
        <w:tc>
          <w:tcPr>
            <w:tcW w:w="95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51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5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2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992"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资金拨付及时率率</w:t>
            </w:r>
          </w:p>
        </w:tc>
        <w:tc>
          <w:tcPr>
            <w:tcW w:w="95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51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5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2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8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992"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预算成本控制率</w:t>
            </w:r>
          </w:p>
        </w:tc>
        <w:tc>
          <w:tcPr>
            <w:tcW w:w="95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51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2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992"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相关事件投诉率</w:t>
            </w:r>
          </w:p>
        </w:tc>
        <w:tc>
          <w:tcPr>
            <w:tcW w:w="95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51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2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992"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5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1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2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8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992"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5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1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2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992"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受益群众人数</w:t>
            </w:r>
          </w:p>
        </w:tc>
        <w:tc>
          <w:tcPr>
            <w:tcW w:w="95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&gt;=460人</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=460人</w:t>
            </w:r>
          </w:p>
        </w:tc>
        <w:tc>
          <w:tcPr>
            <w:tcW w:w="151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5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52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992"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5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1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2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92"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居民群众满意度</w:t>
            </w:r>
          </w:p>
        </w:tc>
        <w:tc>
          <w:tcPr>
            <w:tcW w:w="95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51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2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333"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151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5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52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仿宋_GB2312" w:hAnsi="仿宋_GB2312" w:eastAsia="仿宋_GB2312" w:cs="仿宋_GB2312"/>
          <w:kern w:val="0"/>
          <w:sz w:val="32"/>
          <w:szCs w:val="32"/>
          <w:lang w:eastAsia="zh-Hans"/>
        </w:rPr>
      </w:pPr>
    </w:p>
    <w:tbl>
      <w:tblPr>
        <w:tblStyle w:val="9"/>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7"/>
        <w:gridCol w:w="416"/>
        <w:gridCol w:w="693"/>
        <w:gridCol w:w="142"/>
        <w:gridCol w:w="992"/>
        <w:gridCol w:w="918"/>
        <w:gridCol w:w="716"/>
        <w:gridCol w:w="1116"/>
        <w:gridCol w:w="417"/>
        <w:gridCol w:w="438"/>
        <w:gridCol w:w="717"/>
        <w:gridCol w:w="735"/>
        <w:gridCol w:w="8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8522" w:type="dxa"/>
            <w:gridSpan w:val="13"/>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522" w:type="dxa"/>
            <w:gridSpan w:val="1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89" w:type="dxa"/>
            <w:gridSpan w:val="11"/>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2023年高龄补贴资金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745"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木垒县木垒镇政府</w:t>
            </w:r>
          </w:p>
        </w:tc>
        <w:tc>
          <w:tcPr>
            <w:tcW w:w="1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112"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833"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3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9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85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45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0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3" w:type="dxa"/>
            <w:gridSpan w:val="2"/>
            <w:vMerge w:val="continue"/>
            <w:vAlign w:val="center"/>
          </w:tcPr>
          <w:p>
            <w:pPr>
              <w:widowControl/>
              <w:jc w:val="left"/>
              <w:rPr>
                <w:rFonts w:hint="eastAsia" w:ascii="宋体" w:hAnsi="宋体" w:cs="宋体"/>
                <w:color w:val="000000"/>
                <w:kern w:val="0"/>
                <w:sz w:val="20"/>
                <w:szCs w:val="20"/>
              </w:rPr>
            </w:pPr>
          </w:p>
        </w:tc>
        <w:tc>
          <w:tcPr>
            <w:tcW w:w="83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110.00</w:t>
            </w:r>
          </w:p>
        </w:tc>
        <w:tc>
          <w:tcPr>
            <w:tcW w:w="9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41.30</w:t>
            </w:r>
          </w:p>
        </w:tc>
        <w:tc>
          <w:tcPr>
            <w:tcW w:w="1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41.30</w:t>
            </w:r>
          </w:p>
        </w:tc>
        <w:tc>
          <w:tcPr>
            <w:tcW w:w="85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5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0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3" w:type="dxa"/>
            <w:gridSpan w:val="2"/>
            <w:vMerge w:val="continue"/>
            <w:vAlign w:val="center"/>
          </w:tcPr>
          <w:p>
            <w:pPr>
              <w:widowControl/>
              <w:jc w:val="left"/>
              <w:rPr>
                <w:rFonts w:hint="eastAsia" w:ascii="宋体" w:hAnsi="宋体" w:cs="宋体"/>
                <w:color w:val="000000"/>
                <w:kern w:val="0"/>
                <w:sz w:val="20"/>
                <w:szCs w:val="20"/>
              </w:rPr>
            </w:pPr>
          </w:p>
        </w:tc>
        <w:tc>
          <w:tcPr>
            <w:tcW w:w="83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110.00</w:t>
            </w:r>
          </w:p>
        </w:tc>
        <w:tc>
          <w:tcPr>
            <w:tcW w:w="9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41.30</w:t>
            </w:r>
          </w:p>
        </w:tc>
        <w:tc>
          <w:tcPr>
            <w:tcW w:w="1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41.30</w:t>
            </w:r>
          </w:p>
        </w:tc>
        <w:tc>
          <w:tcPr>
            <w:tcW w:w="85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5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0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3" w:type="dxa"/>
            <w:gridSpan w:val="2"/>
            <w:vMerge w:val="continue"/>
            <w:vAlign w:val="center"/>
          </w:tcPr>
          <w:p>
            <w:pPr>
              <w:widowControl/>
              <w:jc w:val="left"/>
              <w:rPr>
                <w:rFonts w:hint="eastAsia" w:ascii="宋体" w:hAnsi="宋体" w:cs="宋体"/>
                <w:color w:val="000000"/>
                <w:kern w:val="0"/>
                <w:sz w:val="20"/>
                <w:szCs w:val="20"/>
              </w:rPr>
            </w:pPr>
          </w:p>
        </w:tc>
        <w:tc>
          <w:tcPr>
            <w:tcW w:w="835"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992"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918"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832"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85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5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0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161"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944"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3161" w:type="dxa"/>
            <w:gridSpan w:val="5"/>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依据木财预字【2023】1号文件要求，计划使用2023年高龄补贴资金为木垒镇1110名高龄老人发放高龄补贴，保高龄老人基本生活。</w:t>
            </w:r>
          </w:p>
        </w:tc>
        <w:tc>
          <w:tcPr>
            <w:tcW w:w="4944" w:type="dxa"/>
            <w:gridSpan w:val="7"/>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本项目已完成如下工作：完成2023年高龄补贴资金41.3万元，为木垒镇1110名高龄老人发放高龄补贴，高龄补贴发放标准为240元/人。保高龄老人基本生活。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9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34"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1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1533"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155"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540"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vMerge w:val="continue"/>
            <w:vAlign w:val="center"/>
          </w:tcPr>
          <w:p>
            <w:pPr>
              <w:widowControl/>
              <w:jc w:val="left"/>
              <w:rPr>
                <w:rFonts w:hint="eastAsia" w:ascii="宋体" w:hAnsi="宋体" w:cs="宋体"/>
                <w:color w:val="000000"/>
                <w:kern w:val="0"/>
                <w:sz w:val="20"/>
                <w:szCs w:val="20"/>
              </w:rPr>
            </w:pPr>
          </w:p>
        </w:tc>
        <w:tc>
          <w:tcPr>
            <w:tcW w:w="1134" w:type="dxa"/>
            <w:gridSpan w:val="2"/>
            <w:vMerge w:val="continue"/>
            <w:vAlign w:val="center"/>
          </w:tcPr>
          <w:p>
            <w:pPr>
              <w:widowControl/>
              <w:jc w:val="left"/>
              <w:rPr>
                <w:rFonts w:hint="eastAsia" w:ascii="宋体" w:hAnsi="宋体" w:cs="宋体"/>
                <w:color w:val="000000"/>
                <w:kern w:val="0"/>
                <w:sz w:val="20"/>
                <w:szCs w:val="20"/>
              </w:rPr>
            </w:pPr>
          </w:p>
        </w:tc>
        <w:tc>
          <w:tcPr>
            <w:tcW w:w="918" w:type="dxa"/>
            <w:vMerge w:val="continue"/>
            <w:vAlign w:val="center"/>
          </w:tcPr>
          <w:p>
            <w:pPr>
              <w:widowControl/>
              <w:jc w:val="left"/>
              <w:rPr>
                <w:rFonts w:hint="eastAsia" w:ascii="宋体" w:hAnsi="宋体" w:cs="宋体"/>
                <w:color w:val="000000"/>
                <w:kern w:val="0"/>
                <w:sz w:val="20"/>
                <w:szCs w:val="20"/>
              </w:rPr>
            </w:pPr>
          </w:p>
        </w:tc>
        <w:tc>
          <w:tcPr>
            <w:tcW w:w="716" w:type="dxa"/>
            <w:vMerge w:val="continue"/>
            <w:vAlign w:val="center"/>
          </w:tcPr>
          <w:p>
            <w:pPr>
              <w:widowControl/>
              <w:jc w:val="left"/>
              <w:rPr>
                <w:rFonts w:hint="eastAsia" w:ascii="宋体" w:hAnsi="宋体" w:cs="宋体"/>
                <w:color w:val="000000"/>
                <w:kern w:val="0"/>
                <w:sz w:val="20"/>
                <w:szCs w:val="20"/>
              </w:rPr>
            </w:pPr>
          </w:p>
        </w:tc>
        <w:tc>
          <w:tcPr>
            <w:tcW w:w="1533" w:type="dxa"/>
            <w:gridSpan w:val="2"/>
            <w:vMerge w:val="continue"/>
            <w:vAlign w:val="center"/>
          </w:tcPr>
          <w:p>
            <w:pPr>
              <w:widowControl/>
              <w:jc w:val="left"/>
              <w:rPr>
                <w:rFonts w:hint="eastAsia" w:ascii="宋体" w:hAnsi="宋体" w:cs="宋体"/>
                <w:color w:val="000000"/>
                <w:kern w:val="0"/>
                <w:sz w:val="20"/>
                <w:szCs w:val="20"/>
              </w:rPr>
            </w:pPr>
          </w:p>
        </w:tc>
        <w:tc>
          <w:tcPr>
            <w:tcW w:w="1155" w:type="dxa"/>
            <w:gridSpan w:val="2"/>
            <w:vMerge w:val="continue"/>
            <w:vAlign w:val="center"/>
          </w:tcPr>
          <w:p>
            <w:pPr>
              <w:widowControl/>
              <w:jc w:val="left"/>
              <w:rPr>
                <w:rFonts w:hint="eastAsia" w:ascii="宋体" w:hAnsi="宋体" w:cs="宋体"/>
                <w:color w:val="000000"/>
                <w:kern w:val="0"/>
                <w:sz w:val="20"/>
                <w:szCs w:val="20"/>
              </w:rPr>
            </w:pPr>
          </w:p>
        </w:tc>
        <w:tc>
          <w:tcPr>
            <w:tcW w:w="1540"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4"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享受高龄补贴人数</w:t>
            </w:r>
          </w:p>
        </w:tc>
        <w:tc>
          <w:tcPr>
            <w:tcW w:w="9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&gt;=1110人</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=1110人</w:t>
            </w:r>
          </w:p>
        </w:tc>
        <w:tc>
          <w:tcPr>
            <w:tcW w:w="153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4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符合政策的高龄老人纳入保障范围覆盖率</w:t>
            </w:r>
          </w:p>
        </w:tc>
        <w:tc>
          <w:tcPr>
            <w:tcW w:w="9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&gt;=98%</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w:t>
            </w:r>
          </w:p>
        </w:tc>
        <w:tc>
          <w:tcPr>
            <w:tcW w:w="153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4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核查入户率</w:t>
            </w:r>
          </w:p>
        </w:tc>
        <w:tc>
          <w:tcPr>
            <w:tcW w:w="9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w:t>
            </w:r>
          </w:p>
        </w:tc>
        <w:tc>
          <w:tcPr>
            <w:tcW w:w="153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4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补助标准执行率</w:t>
            </w:r>
          </w:p>
        </w:tc>
        <w:tc>
          <w:tcPr>
            <w:tcW w:w="9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53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5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4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34"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9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53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5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4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34"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高龄补贴发放标准</w:t>
            </w:r>
          </w:p>
        </w:tc>
        <w:tc>
          <w:tcPr>
            <w:tcW w:w="9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&lt;=240元/人</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=240元/人</w:t>
            </w:r>
          </w:p>
        </w:tc>
        <w:tc>
          <w:tcPr>
            <w:tcW w:w="153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4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34"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享受补贴人员投诉率</w:t>
            </w:r>
          </w:p>
        </w:tc>
        <w:tc>
          <w:tcPr>
            <w:tcW w:w="9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53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4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34"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3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4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34"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3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4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34"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高龄老人基本生活保障率</w:t>
            </w:r>
          </w:p>
        </w:tc>
        <w:tc>
          <w:tcPr>
            <w:tcW w:w="9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53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5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54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34"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3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4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34"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高龄老人满意度</w:t>
            </w:r>
          </w:p>
        </w:tc>
        <w:tc>
          <w:tcPr>
            <w:tcW w:w="9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53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4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294"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153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5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54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仿宋_GB2312" w:hAnsi="仿宋_GB2312" w:eastAsia="仿宋_GB2312" w:cs="仿宋_GB2312"/>
          <w:kern w:val="0"/>
          <w:sz w:val="32"/>
          <w:szCs w:val="32"/>
          <w:lang w:eastAsia="zh-Hans"/>
        </w:rPr>
      </w:pPr>
    </w:p>
    <w:tbl>
      <w:tblPr>
        <w:tblStyle w:val="9"/>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694"/>
        <w:gridCol w:w="142"/>
        <w:gridCol w:w="850"/>
        <w:gridCol w:w="923"/>
        <w:gridCol w:w="716"/>
        <w:gridCol w:w="996"/>
        <w:gridCol w:w="610"/>
        <w:gridCol w:w="457"/>
        <w:gridCol w:w="730"/>
        <w:gridCol w:w="760"/>
        <w:gridCol w:w="8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8522" w:type="dxa"/>
            <w:gridSpan w:val="13"/>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522" w:type="dxa"/>
            <w:gridSpan w:val="1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90" w:type="dxa"/>
            <w:gridSpan w:val="11"/>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2023年国有企业退休人员社会化管理补助资金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609"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木垒县木垒镇政府</w:t>
            </w:r>
          </w:p>
        </w:tc>
        <w:tc>
          <w:tcPr>
            <w:tcW w:w="171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369"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83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3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9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71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06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49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1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83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1.66</w:t>
            </w:r>
          </w:p>
        </w:tc>
        <w:tc>
          <w:tcPr>
            <w:tcW w:w="9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2.77</w:t>
            </w:r>
          </w:p>
        </w:tc>
        <w:tc>
          <w:tcPr>
            <w:tcW w:w="171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2.77</w:t>
            </w:r>
          </w:p>
        </w:tc>
        <w:tc>
          <w:tcPr>
            <w:tcW w:w="106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9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1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83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1.66</w:t>
            </w:r>
          </w:p>
        </w:tc>
        <w:tc>
          <w:tcPr>
            <w:tcW w:w="9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2.77</w:t>
            </w:r>
          </w:p>
        </w:tc>
        <w:tc>
          <w:tcPr>
            <w:tcW w:w="171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2.77</w:t>
            </w:r>
          </w:p>
        </w:tc>
        <w:tc>
          <w:tcPr>
            <w:tcW w:w="106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9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836"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850"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923"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712"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06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9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025"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5081"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3025" w:type="dxa"/>
            <w:gridSpan w:val="5"/>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依据昌州财建（2022）102号文件要求，计划使用2023年国有企业退休人员社会化管理补助资金1.664万元慰问。</w:t>
            </w:r>
          </w:p>
        </w:tc>
        <w:tc>
          <w:tcPr>
            <w:tcW w:w="5081" w:type="dxa"/>
            <w:gridSpan w:val="7"/>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本项目已完成如下工作：完成使用2023年国有企业退休人员社会化管理补助资金2.77元慰问。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9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99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2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1606"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187"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57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vMerge w:val="continue"/>
            <w:vAlign w:val="center"/>
          </w:tcPr>
          <w:p>
            <w:pPr>
              <w:widowControl/>
              <w:jc w:val="left"/>
              <w:rPr>
                <w:rFonts w:hint="eastAsia" w:ascii="宋体" w:hAnsi="宋体" w:cs="宋体"/>
                <w:color w:val="000000"/>
                <w:kern w:val="0"/>
                <w:sz w:val="20"/>
                <w:szCs w:val="20"/>
              </w:rPr>
            </w:pPr>
          </w:p>
        </w:tc>
        <w:tc>
          <w:tcPr>
            <w:tcW w:w="992" w:type="dxa"/>
            <w:gridSpan w:val="2"/>
            <w:vMerge w:val="continue"/>
            <w:vAlign w:val="center"/>
          </w:tcPr>
          <w:p>
            <w:pPr>
              <w:widowControl/>
              <w:jc w:val="left"/>
              <w:rPr>
                <w:rFonts w:hint="eastAsia" w:ascii="宋体" w:hAnsi="宋体" w:cs="宋体"/>
                <w:color w:val="000000"/>
                <w:kern w:val="0"/>
                <w:sz w:val="20"/>
                <w:szCs w:val="20"/>
              </w:rPr>
            </w:pPr>
          </w:p>
        </w:tc>
        <w:tc>
          <w:tcPr>
            <w:tcW w:w="923" w:type="dxa"/>
            <w:vMerge w:val="continue"/>
            <w:vAlign w:val="center"/>
          </w:tcPr>
          <w:p>
            <w:pPr>
              <w:widowControl/>
              <w:jc w:val="left"/>
              <w:rPr>
                <w:rFonts w:hint="eastAsia" w:ascii="宋体" w:hAnsi="宋体" w:cs="宋体"/>
                <w:color w:val="000000"/>
                <w:kern w:val="0"/>
                <w:sz w:val="20"/>
                <w:szCs w:val="20"/>
              </w:rPr>
            </w:pPr>
          </w:p>
        </w:tc>
        <w:tc>
          <w:tcPr>
            <w:tcW w:w="716" w:type="dxa"/>
            <w:vMerge w:val="continue"/>
            <w:vAlign w:val="center"/>
          </w:tcPr>
          <w:p>
            <w:pPr>
              <w:widowControl/>
              <w:jc w:val="left"/>
              <w:rPr>
                <w:rFonts w:hint="eastAsia" w:ascii="宋体" w:hAnsi="宋体" w:cs="宋体"/>
                <w:color w:val="000000"/>
                <w:kern w:val="0"/>
                <w:sz w:val="20"/>
                <w:szCs w:val="20"/>
              </w:rPr>
            </w:pPr>
          </w:p>
        </w:tc>
        <w:tc>
          <w:tcPr>
            <w:tcW w:w="1606" w:type="dxa"/>
            <w:gridSpan w:val="2"/>
            <w:vMerge w:val="continue"/>
            <w:vAlign w:val="center"/>
          </w:tcPr>
          <w:p>
            <w:pPr>
              <w:widowControl/>
              <w:jc w:val="left"/>
              <w:rPr>
                <w:rFonts w:hint="eastAsia" w:ascii="宋体" w:hAnsi="宋体" w:cs="宋体"/>
                <w:color w:val="000000"/>
                <w:kern w:val="0"/>
                <w:sz w:val="20"/>
                <w:szCs w:val="20"/>
              </w:rPr>
            </w:pPr>
          </w:p>
        </w:tc>
        <w:tc>
          <w:tcPr>
            <w:tcW w:w="1187" w:type="dxa"/>
            <w:gridSpan w:val="2"/>
            <w:vMerge w:val="continue"/>
            <w:vAlign w:val="center"/>
          </w:tcPr>
          <w:p>
            <w:pPr>
              <w:widowControl/>
              <w:jc w:val="left"/>
              <w:rPr>
                <w:rFonts w:hint="eastAsia" w:ascii="宋体" w:hAnsi="宋体" w:cs="宋体"/>
                <w:color w:val="000000"/>
                <w:kern w:val="0"/>
                <w:sz w:val="20"/>
                <w:szCs w:val="20"/>
              </w:rPr>
            </w:pPr>
          </w:p>
        </w:tc>
        <w:tc>
          <w:tcPr>
            <w:tcW w:w="1572"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9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涉及乡镇数量</w:t>
            </w:r>
          </w:p>
        </w:tc>
        <w:tc>
          <w:tcPr>
            <w:tcW w:w="9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160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9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资金发放准确率</w:t>
            </w:r>
          </w:p>
        </w:tc>
        <w:tc>
          <w:tcPr>
            <w:tcW w:w="9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60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18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5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99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资金发放及时率</w:t>
            </w:r>
          </w:p>
        </w:tc>
        <w:tc>
          <w:tcPr>
            <w:tcW w:w="9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60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18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5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99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预算成本控制率</w:t>
            </w:r>
          </w:p>
        </w:tc>
        <w:tc>
          <w:tcPr>
            <w:tcW w:w="9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60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99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相关事件投诉率</w:t>
            </w:r>
          </w:p>
        </w:tc>
        <w:tc>
          <w:tcPr>
            <w:tcW w:w="9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60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99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0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99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0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99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政策发挥效应年限</w:t>
            </w:r>
          </w:p>
        </w:tc>
        <w:tc>
          <w:tcPr>
            <w:tcW w:w="9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&gt;=1年</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=1年</w:t>
            </w:r>
          </w:p>
        </w:tc>
        <w:tc>
          <w:tcPr>
            <w:tcW w:w="160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8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5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99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0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9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商户满意度（%）</w:t>
            </w:r>
          </w:p>
        </w:tc>
        <w:tc>
          <w:tcPr>
            <w:tcW w:w="9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60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157"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160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8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5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widowControl/>
        <w:jc w:val="left"/>
        <w:rPr>
          <w:rFonts w:hint="eastAsia" w:ascii="仿宋_GB2312" w:hAnsi="仿宋_GB2312" w:eastAsia="仿宋_GB2312" w:cs="仿宋_GB2312"/>
          <w:kern w:val="0"/>
          <w:sz w:val="32"/>
          <w:szCs w:val="32"/>
          <w:lang w:eastAsia="zh-Hans"/>
        </w:rPr>
      </w:pPr>
    </w:p>
    <w:tbl>
      <w:tblPr>
        <w:tblStyle w:val="9"/>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694"/>
        <w:gridCol w:w="137"/>
        <w:gridCol w:w="816"/>
        <w:gridCol w:w="816"/>
        <w:gridCol w:w="716"/>
        <w:gridCol w:w="1114"/>
        <w:gridCol w:w="569"/>
        <w:gridCol w:w="477"/>
        <w:gridCol w:w="740"/>
        <w:gridCol w:w="792"/>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8522" w:type="dxa"/>
            <w:gridSpan w:val="13"/>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522" w:type="dxa"/>
            <w:gridSpan w:val="1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90" w:type="dxa"/>
            <w:gridSpan w:val="11"/>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村级（社区）运转经费和服务群众经费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463"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木垒县木垒镇政府</w:t>
            </w:r>
          </w:p>
        </w:tc>
        <w:tc>
          <w:tcPr>
            <w:tcW w:w="183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397"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83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3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83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04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5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1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83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215.00</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140.00</w:t>
            </w:r>
          </w:p>
        </w:tc>
        <w:tc>
          <w:tcPr>
            <w:tcW w:w="183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140.00</w:t>
            </w:r>
          </w:p>
        </w:tc>
        <w:tc>
          <w:tcPr>
            <w:tcW w:w="104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1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83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215.00</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140.00</w:t>
            </w:r>
          </w:p>
        </w:tc>
        <w:tc>
          <w:tcPr>
            <w:tcW w:w="183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140.00</w:t>
            </w:r>
          </w:p>
        </w:tc>
        <w:tc>
          <w:tcPr>
            <w:tcW w:w="104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831"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816"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816"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830"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04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879"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5227"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2879" w:type="dxa"/>
            <w:gridSpan w:val="5"/>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依据木财预字【2023】1号文件要求，木垒镇计划使用村级运转经费和服务群众经费资金保障木垒镇辖区7个社区正常办公运转、服务各社区群众改善社区集体工作、生活条件，巩固基层党组织政权，以保证基层单位</w:t>
            </w:r>
            <w:r>
              <w:rPr>
                <w:rFonts w:hint="eastAsia" w:ascii="宋体" w:hAnsi="宋体" w:cs="宋体"/>
                <w:color w:val="000000"/>
                <w:kern w:val="0"/>
                <w:sz w:val="20"/>
                <w:szCs w:val="20"/>
                <w:lang w:eastAsia="zh-CN"/>
              </w:rPr>
              <w:t>更好地为</w:t>
            </w:r>
            <w:r>
              <w:rPr>
                <w:rFonts w:hint="eastAsia" w:ascii="宋体" w:hAnsi="宋体" w:cs="宋体"/>
                <w:color w:val="000000"/>
                <w:kern w:val="0"/>
                <w:sz w:val="20"/>
                <w:szCs w:val="20"/>
              </w:rPr>
              <w:t>人民群众服务2.为社区居委会提供办公经费补助，改善单位办公条件，使干部更好的开展日常工作。</w:t>
            </w:r>
          </w:p>
        </w:tc>
        <w:tc>
          <w:tcPr>
            <w:tcW w:w="5227" w:type="dxa"/>
            <w:gridSpan w:val="7"/>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本项目已完成如下工作：完成使用村级运转经费和服务群众经费资金140万元，保障木垒镇辖区7个社区正常办公运转、服务各社区群众改善社区集体工作、生活条件，巩固基层党组织政权，以保证基层单位</w:t>
            </w:r>
            <w:r>
              <w:rPr>
                <w:rFonts w:hint="eastAsia" w:ascii="宋体" w:hAnsi="宋体" w:cs="宋体"/>
                <w:color w:val="000000"/>
                <w:kern w:val="0"/>
                <w:sz w:val="20"/>
                <w:szCs w:val="20"/>
                <w:lang w:eastAsia="zh-CN"/>
              </w:rPr>
              <w:t>更好地为</w:t>
            </w:r>
            <w:r>
              <w:rPr>
                <w:rFonts w:hint="eastAsia" w:ascii="宋体" w:hAnsi="宋体" w:cs="宋体"/>
                <w:color w:val="000000"/>
                <w:kern w:val="0"/>
                <w:sz w:val="20"/>
                <w:szCs w:val="20"/>
              </w:rPr>
              <w:t>人民群众服务2.为社区居委会提供办公经费补助，改善单位办公条件，使干部更好的开展日常工作。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9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953"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1683"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217"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611"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vMerge w:val="continue"/>
            <w:vAlign w:val="center"/>
          </w:tcPr>
          <w:p>
            <w:pPr>
              <w:widowControl/>
              <w:jc w:val="left"/>
              <w:rPr>
                <w:rFonts w:hint="eastAsia" w:ascii="宋体" w:hAnsi="宋体" w:cs="宋体"/>
                <w:color w:val="000000"/>
                <w:kern w:val="0"/>
                <w:sz w:val="20"/>
                <w:szCs w:val="20"/>
              </w:rPr>
            </w:pPr>
          </w:p>
        </w:tc>
        <w:tc>
          <w:tcPr>
            <w:tcW w:w="953" w:type="dxa"/>
            <w:gridSpan w:val="2"/>
            <w:vMerge w:val="continue"/>
            <w:vAlign w:val="center"/>
          </w:tcPr>
          <w:p>
            <w:pPr>
              <w:widowControl/>
              <w:jc w:val="left"/>
              <w:rPr>
                <w:rFonts w:hint="eastAsia" w:ascii="宋体" w:hAnsi="宋体" w:cs="宋体"/>
                <w:color w:val="000000"/>
                <w:kern w:val="0"/>
                <w:sz w:val="20"/>
                <w:szCs w:val="20"/>
              </w:rPr>
            </w:pPr>
          </w:p>
        </w:tc>
        <w:tc>
          <w:tcPr>
            <w:tcW w:w="816" w:type="dxa"/>
            <w:vMerge w:val="continue"/>
            <w:vAlign w:val="center"/>
          </w:tcPr>
          <w:p>
            <w:pPr>
              <w:widowControl/>
              <w:jc w:val="left"/>
              <w:rPr>
                <w:rFonts w:hint="eastAsia" w:ascii="宋体" w:hAnsi="宋体" w:cs="宋体"/>
                <w:color w:val="000000"/>
                <w:kern w:val="0"/>
                <w:sz w:val="20"/>
                <w:szCs w:val="20"/>
              </w:rPr>
            </w:pPr>
          </w:p>
        </w:tc>
        <w:tc>
          <w:tcPr>
            <w:tcW w:w="716" w:type="dxa"/>
            <w:vMerge w:val="continue"/>
            <w:vAlign w:val="center"/>
          </w:tcPr>
          <w:p>
            <w:pPr>
              <w:widowControl/>
              <w:jc w:val="left"/>
              <w:rPr>
                <w:rFonts w:hint="eastAsia" w:ascii="宋体" w:hAnsi="宋体" w:cs="宋体"/>
                <w:color w:val="000000"/>
                <w:kern w:val="0"/>
                <w:sz w:val="20"/>
                <w:szCs w:val="20"/>
              </w:rPr>
            </w:pPr>
          </w:p>
        </w:tc>
        <w:tc>
          <w:tcPr>
            <w:tcW w:w="1683" w:type="dxa"/>
            <w:gridSpan w:val="2"/>
            <w:vMerge w:val="continue"/>
            <w:vAlign w:val="center"/>
          </w:tcPr>
          <w:p>
            <w:pPr>
              <w:widowControl/>
              <w:jc w:val="left"/>
              <w:rPr>
                <w:rFonts w:hint="eastAsia" w:ascii="宋体" w:hAnsi="宋体" w:cs="宋体"/>
                <w:color w:val="000000"/>
                <w:kern w:val="0"/>
                <w:sz w:val="20"/>
                <w:szCs w:val="20"/>
              </w:rPr>
            </w:pPr>
          </w:p>
        </w:tc>
        <w:tc>
          <w:tcPr>
            <w:tcW w:w="1217" w:type="dxa"/>
            <w:gridSpan w:val="2"/>
            <w:vMerge w:val="continue"/>
            <w:vAlign w:val="center"/>
          </w:tcPr>
          <w:p>
            <w:pPr>
              <w:widowControl/>
              <w:jc w:val="left"/>
              <w:rPr>
                <w:rFonts w:hint="eastAsia" w:ascii="宋体" w:hAnsi="宋体" w:cs="宋体"/>
                <w:color w:val="000000"/>
                <w:kern w:val="0"/>
                <w:sz w:val="20"/>
                <w:szCs w:val="20"/>
              </w:rPr>
            </w:pPr>
          </w:p>
        </w:tc>
        <w:tc>
          <w:tcPr>
            <w:tcW w:w="1611"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53"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惠及社区数量</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=7个</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=7个</w:t>
            </w:r>
          </w:p>
        </w:tc>
        <w:tc>
          <w:tcPr>
            <w:tcW w:w="168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1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1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53"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公务保障用车数量</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=11个</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=11个</w:t>
            </w:r>
          </w:p>
        </w:tc>
        <w:tc>
          <w:tcPr>
            <w:tcW w:w="168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1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1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53"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保障办公人员数量</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&gt;=18人</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=18人</w:t>
            </w:r>
          </w:p>
        </w:tc>
        <w:tc>
          <w:tcPr>
            <w:tcW w:w="168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1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1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53"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资金拨付使用率</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68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1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1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953"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居民纠纷处理及时率</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68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1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953"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公用经费支付及时率</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68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1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953"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预算控制率</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68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1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1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953"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各社区运转经费标准</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&lt;=20万元</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=20万元</w:t>
            </w:r>
          </w:p>
        </w:tc>
        <w:tc>
          <w:tcPr>
            <w:tcW w:w="168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1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1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953"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居民投诉率</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8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1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953"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8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1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1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953"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8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1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1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953"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居民纠纷处理率</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68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1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953"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受益居民人数</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&gt;=3000人</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=3000人</w:t>
            </w:r>
          </w:p>
        </w:tc>
        <w:tc>
          <w:tcPr>
            <w:tcW w:w="168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1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953"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8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1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1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53"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居民满意度</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8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1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011"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168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1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61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仿宋_GB2312" w:hAnsi="仿宋_GB2312" w:eastAsia="仿宋_GB2312" w:cs="仿宋_GB2312"/>
          <w:kern w:val="0"/>
          <w:sz w:val="32"/>
          <w:szCs w:val="32"/>
          <w:lang w:eastAsia="zh-Hans"/>
        </w:rPr>
      </w:pPr>
    </w:p>
    <w:tbl>
      <w:tblPr>
        <w:tblStyle w:val="9"/>
        <w:tblW w:w="8522" w:type="dxa"/>
        <w:jc w:val="center"/>
        <w:tblInd w:w="0" w:type="dxa"/>
        <w:tblLayout w:type="fixed"/>
        <w:tblCellMar>
          <w:top w:w="0" w:type="dxa"/>
          <w:left w:w="108" w:type="dxa"/>
          <w:bottom w:w="0" w:type="dxa"/>
          <w:right w:w="108" w:type="dxa"/>
        </w:tblCellMar>
      </w:tblPr>
      <w:tblGrid>
        <w:gridCol w:w="416"/>
        <w:gridCol w:w="416"/>
        <w:gridCol w:w="694"/>
        <w:gridCol w:w="142"/>
        <w:gridCol w:w="850"/>
        <w:gridCol w:w="142"/>
        <w:gridCol w:w="792"/>
        <w:gridCol w:w="716"/>
        <w:gridCol w:w="845"/>
        <w:gridCol w:w="757"/>
        <w:gridCol w:w="452"/>
        <w:gridCol w:w="729"/>
        <w:gridCol w:w="760"/>
        <w:gridCol w:w="811"/>
      </w:tblGrid>
      <w:tr>
        <w:tblPrEx>
          <w:tblLayout w:type="fixed"/>
          <w:tblCellMar>
            <w:top w:w="0" w:type="dxa"/>
            <w:left w:w="108" w:type="dxa"/>
            <w:bottom w:w="0" w:type="dxa"/>
            <w:right w:w="108" w:type="dxa"/>
          </w:tblCellMar>
        </w:tblPrEx>
        <w:trPr>
          <w:trHeight w:val="405"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Layout w:type="fixed"/>
          <w:tblCellMar>
            <w:top w:w="0" w:type="dxa"/>
            <w:left w:w="108" w:type="dxa"/>
            <w:bottom w:w="0" w:type="dxa"/>
            <w:right w:w="108" w:type="dxa"/>
          </w:tblCellMar>
        </w:tblPrEx>
        <w:trPr>
          <w:trHeight w:val="270"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trHeight w:val="270"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90" w:type="dxa"/>
            <w:gridSpan w:val="1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第一批困难群众救助资金</w:t>
            </w:r>
          </w:p>
        </w:tc>
      </w:tr>
      <w:tr>
        <w:tblPrEx>
          <w:tblLayout w:type="fixed"/>
          <w:tblCellMar>
            <w:top w:w="0" w:type="dxa"/>
            <w:left w:w="108" w:type="dxa"/>
            <w:bottom w:w="0" w:type="dxa"/>
            <w:right w:w="108" w:type="dxa"/>
          </w:tblCellMar>
        </w:tblPrEx>
        <w:trPr>
          <w:trHeight w:val="270"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620"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木垒县木垒镇政府</w:t>
            </w:r>
          </w:p>
        </w:tc>
        <w:tc>
          <w:tcPr>
            <w:tcW w:w="156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509"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木垒县木垒镇政府</w:t>
            </w:r>
          </w:p>
        </w:tc>
      </w:tr>
      <w:tr>
        <w:tblPrEx>
          <w:tblLayout w:type="fixed"/>
          <w:tblCellMar>
            <w:top w:w="0" w:type="dxa"/>
            <w:left w:w="108" w:type="dxa"/>
            <w:bottom w:w="0" w:type="dxa"/>
            <w:right w:w="108" w:type="dxa"/>
          </w:tblCellMar>
        </w:tblPrEx>
        <w:trPr>
          <w:trHeight w:val="480" w:hRule="atLeast"/>
          <w:jc w:val="center"/>
        </w:trPr>
        <w:tc>
          <w:tcPr>
            <w:tcW w:w="8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3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9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56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48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1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trHeight w:val="439"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3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5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101.90</w:t>
            </w:r>
          </w:p>
        </w:tc>
        <w:tc>
          <w:tcPr>
            <w:tcW w:w="9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60.06</w:t>
            </w:r>
          </w:p>
        </w:tc>
        <w:tc>
          <w:tcPr>
            <w:tcW w:w="156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60.06</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8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1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trHeight w:val="439"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3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5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101.90</w:t>
            </w:r>
          </w:p>
        </w:tc>
        <w:tc>
          <w:tcPr>
            <w:tcW w:w="9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60.06</w:t>
            </w:r>
          </w:p>
        </w:tc>
        <w:tc>
          <w:tcPr>
            <w:tcW w:w="156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60.06</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8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439"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3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85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9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56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8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270" w:hRule="atLeast"/>
          <w:jc w:val="center"/>
        </w:trPr>
        <w:tc>
          <w:tcPr>
            <w:tcW w:w="4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036"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507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trHeight w:val="540"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036" w:type="dxa"/>
            <w:gridSpan w:val="6"/>
            <w:tcBorders>
              <w:top w:val="single" w:color="auto" w:sz="4" w:space="0"/>
              <w:left w:val="single" w:color="auto" w:sz="4" w:space="0"/>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计划使用2023年残疾人两项补贴资金为木垒镇228名困难群众发放低保、特困补助，保障困难群众基本生活水平，助力打赢脱贫攻坚战。</w:t>
            </w:r>
          </w:p>
        </w:tc>
        <w:tc>
          <w:tcPr>
            <w:tcW w:w="5070" w:type="dxa"/>
            <w:gridSpan w:val="7"/>
            <w:tcBorders>
              <w:top w:val="single" w:color="auto" w:sz="4" w:space="0"/>
              <w:left w:val="single" w:color="auto" w:sz="4" w:space="0"/>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本项目已完成如下工作：完成2023年残疾人两项补贴资金60.06万元，为木垒镇228名困难群众发放低保、特困补助，保障困难群众基本生活水平，助力打赢脱贫攻坚战。</w:t>
            </w:r>
          </w:p>
        </w:tc>
      </w:tr>
      <w:tr>
        <w:tblPrEx>
          <w:tblLayout w:type="fixed"/>
          <w:tblCellMar>
            <w:top w:w="0" w:type="dxa"/>
            <w:left w:w="108" w:type="dxa"/>
            <w:bottom w:w="0" w:type="dxa"/>
            <w:right w:w="108" w:type="dxa"/>
          </w:tblCellMar>
        </w:tblPrEx>
        <w:trPr>
          <w:trHeight w:val="312" w:hRule="atLeast"/>
          <w:jc w:val="center"/>
        </w:trPr>
        <w:tc>
          <w:tcPr>
            <w:tcW w:w="4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9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34"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9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160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18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57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312"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9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34"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9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1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0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8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7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2" w:hRule="atLeast"/>
          <w:jc w:val="center"/>
        </w:trPr>
        <w:tc>
          <w:tcPr>
            <w:tcW w:w="4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4"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发放救助人数</w:t>
            </w:r>
          </w:p>
        </w:tc>
        <w:tc>
          <w:tcPr>
            <w:tcW w:w="79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&gt;=228人</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=228人</w:t>
            </w:r>
          </w:p>
        </w:tc>
        <w:tc>
          <w:tcPr>
            <w:tcW w:w="16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402"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符合政策的困难群众纳入保障范围覆盖率</w:t>
            </w:r>
          </w:p>
        </w:tc>
        <w:tc>
          <w:tcPr>
            <w:tcW w:w="79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&gt;=98%</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w:t>
            </w:r>
          </w:p>
        </w:tc>
        <w:tc>
          <w:tcPr>
            <w:tcW w:w="16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402"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34"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接到流浪乞讨人员救助信息响应时间</w:t>
            </w:r>
          </w:p>
        </w:tc>
        <w:tc>
          <w:tcPr>
            <w:tcW w:w="79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&lt;=30分钟</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=30分钟</w:t>
            </w:r>
          </w:p>
        </w:tc>
        <w:tc>
          <w:tcPr>
            <w:tcW w:w="16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402"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34"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补贴、救助资金发放及时率</w:t>
            </w:r>
          </w:p>
        </w:tc>
        <w:tc>
          <w:tcPr>
            <w:tcW w:w="79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6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402"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34"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救助金发放标准</w:t>
            </w:r>
          </w:p>
        </w:tc>
        <w:tc>
          <w:tcPr>
            <w:tcW w:w="79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&lt;=580元/人</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=580元/人</w:t>
            </w:r>
          </w:p>
        </w:tc>
        <w:tc>
          <w:tcPr>
            <w:tcW w:w="16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402"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34"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享受困难补助人员投诉率</w:t>
            </w:r>
          </w:p>
        </w:tc>
        <w:tc>
          <w:tcPr>
            <w:tcW w:w="79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6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402"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34"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402"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34"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402"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34"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困难群众救助率</w:t>
            </w:r>
          </w:p>
        </w:tc>
        <w:tc>
          <w:tcPr>
            <w:tcW w:w="79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16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402"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34"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生活不能自理特困人员集中供养率（%）</w:t>
            </w:r>
          </w:p>
        </w:tc>
        <w:tc>
          <w:tcPr>
            <w:tcW w:w="79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6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402"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34"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402"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34"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救助对象满意度</w:t>
            </w:r>
          </w:p>
        </w:tc>
        <w:tc>
          <w:tcPr>
            <w:tcW w:w="79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6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270" w:hRule="atLeast"/>
          <w:jc w:val="center"/>
        </w:trPr>
        <w:tc>
          <w:tcPr>
            <w:tcW w:w="4168"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160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8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5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仿宋_GB2312" w:hAnsi="仿宋_GB2312" w:eastAsia="仿宋_GB2312" w:cs="仿宋_GB2312"/>
          <w:kern w:val="0"/>
          <w:sz w:val="32"/>
          <w:szCs w:val="32"/>
          <w:lang w:eastAsia="zh-Hans"/>
        </w:rPr>
      </w:pPr>
    </w:p>
    <w:tbl>
      <w:tblPr>
        <w:tblStyle w:val="9"/>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8"/>
        <w:gridCol w:w="416"/>
        <w:gridCol w:w="692"/>
        <w:gridCol w:w="142"/>
        <w:gridCol w:w="708"/>
        <w:gridCol w:w="142"/>
        <w:gridCol w:w="828"/>
        <w:gridCol w:w="716"/>
        <w:gridCol w:w="623"/>
        <w:gridCol w:w="1072"/>
        <w:gridCol w:w="479"/>
        <w:gridCol w:w="703"/>
        <w:gridCol w:w="764"/>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8522" w:type="dxa"/>
            <w:gridSpan w:val="14"/>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522" w:type="dxa"/>
            <w:gridSpan w:val="1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88" w:type="dxa"/>
            <w:gridSpan w:val="1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福利彩票公益金资助社会福利项目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512"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木垒县木垒镇政府</w:t>
            </w:r>
          </w:p>
        </w:tc>
        <w:tc>
          <w:tcPr>
            <w:tcW w:w="133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837"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834"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33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55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46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1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4" w:type="dxa"/>
            <w:gridSpan w:val="2"/>
            <w:vMerge w:val="continue"/>
            <w:vAlign w:val="center"/>
          </w:tcPr>
          <w:p>
            <w:pPr>
              <w:widowControl/>
              <w:jc w:val="left"/>
              <w:rPr>
                <w:rFonts w:hint="eastAsia" w:ascii="宋体" w:hAnsi="宋体" w:cs="宋体"/>
                <w:color w:val="000000"/>
                <w:kern w:val="0"/>
                <w:sz w:val="20"/>
                <w:szCs w:val="20"/>
              </w:rPr>
            </w:pPr>
          </w:p>
        </w:tc>
        <w:tc>
          <w:tcPr>
            <w:tcW w:w="8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5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50.00</w:t>
            </w:r>
          </w:p>
        </w:tc>
        <w:tc>
          <w:tcPr>
            <w:tcW w:w="8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50.00</w:t>
            </w:r>
          </w:p>
        </w:tc>
        <w:tc>
          <w:tcPr>
            <w:tcW w:w="133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49.88</w:t>
            </w:r>
          </w:p>
        </w:tc>
        <w:tc>
          <w:tcPr>
            <w:tcW w:w="155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6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99.76%</w:t>
            </w:r>
          </w:p>
        </w:tc>
        <w:tc>
          <w:tcPr>
            <w:tcW w:w="81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4" w:type="dxa"/>
            <w:gridSpan w:val="2"/>
            <w:vMerge w:val="continue"/>
            <w:vAlign w:val="center"/>
          </w:tcPr>
          <w:p>
            <w:pPr>
              <w:widowControl/>
              <w:jc w:val="left"/>
              <w:rPr>
                <w:rFonts w:hint="eastAsia" w:ascii="宋体" w:hAnsi="宋体" w:cs="宋体"/>
                <w:color w:val="000000"/>
                <w:kern w:val="0"/>
                <w:sz w:val="20"/>
                <w:szCs w:val="20"/>
              </w:rPr>
            </w:pPr>
          </w:p>
        </w:tc>
        <w:tc>
          <w:tcPr>
            <w:tcW w:w="8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5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50.00</w:t>
            </w:r>
          </w:p>
        </w:tc>
        <w:tc>
          <w:tcPr>
            <w:tcW w:w="8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50.00</w:t>
            </w:r>
          </w:p>
        </w:tc>
        <w:tc>
          <w:tcPr>
            <w:tcW w:w="133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49.88</w:t>
            </w:r>
          </w:p>
        </w:tc>
        <w:tc>
          <w:tcPr>
            <w:tcW w:w="155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6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4" w:type="dxa"/>
            <w:gridSpan w:val="2"/>
            <w:vMerge w:val="continue"/>
            <w:vAlign w:val="center"/>
          </w:tcPr>
          <w:p>
            <w:pPr>
              <w:widowControl/>
              <w:jc w:val="left"/>
              <w:rPr>
                <w:rFonts w:hint="eastAsia" w:ascii="宋体" w:hAnsi="宋体" w:cs="宋体"/>
                <w:color w:val="000000"/>
                <w:kern w:val="0"/>
                <w:sz w:val="20"/>
                <w:szCs w:val="20"/>
              </w:rPr>
            </w:pPr>
          </w:p>
        </w:tc>
        <w:tc>
          <w:tcPr>
            <w:tcW w:w="834"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850"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828"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339"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55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6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1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928"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5176"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418" w:type="dxa"/>
            <w:vMerge w:val="continue"/>
            <w:vAlign w:val="center"/>
          </w:tcPr>
          <w:p>
            <w:pPr>
              <w:widowControl/>
              <w:jc w:val="left"/>
              <w:rPr>
                <w:rFonts w:hint="eastAsia" w:ascii="宋体" w:hAnsi="宋体" w:cs="宋体"/>
                <w:color w:val="000000"/>
                <w:kern w:val="0"/>
                <w:sz w:val="20"/>
                <w:szCs w:val="20"/>
              </w:rPr>
            </w:pPr>
          </w:p>
        </w:tc>
        <w:tc>
          <w:tcPr>
            <w:tcW w:w="2928" w:type="dxa"/>
            <w:gridSpan w:val="6"/>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依据木财预字【2023】27号文件，福利彩票公益金资助社会福利项目50万元，资金主要用于打造7个社区的老年活动中心。</w:t>
            </w:r>
          </w:p>
        </w:tc>
        <w:tc>
          <w:tcPr>
            <w:tcW w:w="5176" w:type="dxa"/>
            <w:gridSpan w:val="7"/>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本项目已完成如下工作：完成福利彩票公益金资助社会福利项目49.88万元，资金主要用于打造7个社区的老年活动中心。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92"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850"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70"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1695"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18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583"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8"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2" w:type="dxa"/>
            <w:vMerge w:val="continue"/>
            <w:vAlign w:val="center"/>
          </w:tcPr>
          <w:p>
            <w:pPr>
              <w:widowControl/>
              <w:jc w:val="left"/>
              <w:rPr>
                <w:rFonts w:hint="eastAsia" w:ascii="宋体" w:hAnsi="宋体" w:cs="宋体"/>
                <w:color w:val="000000"/>
                <w:kern w:val="0"/>
                <w:sz w:val="20"/>
                <w:szCs w:val="20"/>
              </w:rPr>
            </w:pPr>
          </w:p>
        </w:tc>
        <w:tc>
          <w:tcPr>
            <w:tcW w:w="850" w:type="dxa"/>
            <w:gridSpan w:val="2"/>
            <w:vMerge w:val="continue"/>
            <w:vAlign w:val="center"/>
          </w:tcPr>
          <w:p>
            <w:pPr>
              <w:widowControl/>
              <w:jc w:val="left"/>
              <w:rPr>
                <w:rFonts w:hint="eastAsia" w:ascii="宋体" w:hAnsi="宋体" w:cs="宋体"/>
                <w:color w:val="000000"/>
                <w:kern w:val="0"/>
                <w:sz w:val="20"/>
                <w:szCs w:val="20"/>
              </w:rPr>
            </w:pPr>
          </w:p>
        </w:tc>
        <w:tc>
          <w:tcPr>
            <w:tcW w:w="970" w:type="dxa"/>
            <w:gridSpan w:val="2"/>
            <w:vMerge w:val="continue"/>
            <w:vAlign w:val="center"/>
          </w:tcPr>
          <w:p>
            <w:pPr>
              <w:widowControl/>
              <w:jc w:val="left"/>
              <w:rPr>
                <w:rFonts w:hint="eastAsia" w:ascii="宋体" w:hAnsi="宋体" w:cs="宋体"/>
                <w:color w:val="000000"/>
                <w:kern w:val="0"/>
                <w:sz w:val="20"/>
                <w:szCs w:val="20"/>
              </w:rPr>
            </w:pPr>
          </w:p>
        </w:tc>
        <w:tc>
          <w:tcPr>
            <w:tcW w:w="716" w:type="dxa"/>
            <w:vMerge w:val="continue"/>
            <w:vAlign w:val="center"/>
          </w:tcPr>
          <w:p>
            <w:pPr>
              <w:widowControl/>
              <w:jc w:val="left"/>
              <w:rPr>
                <w:rFonts w:hint="eastAsia" w:ascii="宋体" w:hAnsi="宋体" w:cs="宋体"/>
                <w:color w:val="000000"/>
                <w:kern w:val="0"/>
                <w:sz w:val="20"/>
                <w:szCs w:val="20"/>
              </w:rPr>
            </w:pPr>
          </w:p>
        </w:tc>
        <w:tc>
          <w:tcPr>
            <w:tcW w:w="1695" w:type="dxa"/>
            <w:gridSpan w:val="2"/>
            <w:vMerge w:val="continue"/>
            <w:vAlign w:val="center"/>
          </w:tcPr>
          <w:p>
            <w:pPr>
              <w:widowControl/>
              <w:jc w:val="left"/>
              <w:rPr>
                <w:rFonts w:hint="eastAsia" w:ascii="宋体" w:hAnsi="宋体" w:cs="宋体"/>
                <w:color w:val="000000"/>
                <w:kern w:val="0"/>
                <w:sz w:val="20"/>
                <w:szCs w:val="20"/>
              </w:rPr>
            </w:pPr>
          </w:p>
        </w:tc>
        <w:tc>
          <w:tcPr>
            <w:tcW w:w="1182" w:type="dxa"/>
            <w:gridSpan w:val="2"/>
            <w:vMerge w:val="continue"/>
            <w:vAlign w:val="center"/>
          </w:tcPr>
          <w:p>
            <w:pPr>
              <w:widowControl/>
              <w:jc w:val="left"/>
              <w:rPr>
                <w:rFonts w:hint="eastAsia" w:ascii="宋体" w:hAnsi="宋体" w:cs="宋体"/>
                <w:color w:val="000000"/>
                <w:kern w:val="0"/>
                <w:sz w:val="20"/>
                <w:szCs w:val="20"/>
              </w:rPr>
            </w:pPr>
          </w:p>
        </w:tc>
        <w:tc>
          <w:tcPr>
            <w:tcW w:w="1583"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85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资助项目数量</w:t>
            </w:r>
          </w:p>
        </w:tc>
        <w:tc>
          <w:tcPr>
            <w:tcW w:w="97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&gt;=2个</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=2个</w:t>
            </w:r>
          </w:p>
        </w:tc>
        <w:tc>
          <w:tcPr>
            <w:tcW w:w="169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8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8"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85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补助资金支付率</w:t>
            </w:r>
          </w:p>
        </w:tc>
        <w:tc>
          <w:tcPr>
            <w:tcW w:w="97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69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8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8"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85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资助项目完成及时率</w:t>
            </w:r>
          </w:p>
        </w:tc>
        <w:tc>
          <w:tcPr>
            <w:tcW w:w="97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69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8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8"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85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补助资金支付及时率</w:t>
            </w:r>
          </w:p>
        </w:tc>
        <w:tc>
          <w:tcPr>
            <w:tcW w:w="97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69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8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8"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85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97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69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8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58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8"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85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7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9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8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8"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85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7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9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8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8"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85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7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9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8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8"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85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受益群众人数</w:t>
            </w:r>
          </w:p>
        </w:tc>
        <w:tc>
          <w:tcPr>
            <w:tcW w:w="97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&gt;=500人</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=500人</w:t>
            </w:r>
          </w:p>
        </w:tc>
        <w:tc>
          <w:tcPr>
            <w:tcW w:w="169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8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58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8"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85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7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9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8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8"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5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97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69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8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062" w:type="dxa"/>
            <w:gridSpan w:val="8"/>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169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8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58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仿宋_GB2312" w:hAnsi="仿宋_GB2312" w:eastAsia="仿宋_GB2312" w:cs="仿宋_GB2312"/>
          <w:kern w:val="0"/>
          <w:sz w:val="32"/>
          <w:szCs w:val="32"/>
          <w:lang w:eastAsia="zh-Hans"/>
        </w:rPr>
      </w:pPr>
    </w:p>
    <w:tbl>
      <w:tblPr>
        <w:tblStyle w:val="9"/>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7"/>
        <w:gridCol w:w="416"/>
        <w:gridCol w:w="687"/>
        <w:gridCol w:w="142"/>
        <w:gridCol w:w="708"/>
        <w:gridCol w:w="983"/>
        <w:gridCol w:w="866"/>
        <w:gridCol w:w="754"/>
        <w:gridCol w:w="750"/>
        <w:gridCol w:w="468"/>
        <w:gridCol w:w="737"/>
        <w:gridCol w:w="778"/>
        <w:gridCol w:w="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8522" w:type="dxa"/>
            <w:gridSpan w:val="13"/>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522" w:type="dxa"/>
            <w:gridSpan w:val="1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89" w:type="dxa"/>
            <w:gridSpan w:val="11"/>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各乡镇社会保险工作经费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520"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木垒县木垒镇政府</w:t>
            </w:r>
          </w:p>
        </w:tc>
        <w:tc>
          <w:tcPr>
            <w:tcW w:w="162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549"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833"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2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98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62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21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51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3" w:type="dxa"/>
            <w:gridSpan w:val="2"/>
            <w:vMerge w:val="continue"/>
            <w:vAlign w:val="center"/>
          </w:tcPr>
          <w:p>
            <w:pPr>
              <w:widowControl/>
              <w:jc w:val="left"/>
              <w:rPr>
                <w:rFonts w:hint="eastAsia" w:ascii="宋体" w:hAnsi="宋体" w:cs="宋体"/>
                <w:color w:val="000000"/>
                <w:kern w:val="0"/>
                <w:sz w:val="20"/>
                <w:szCs w:val="20"/>
              </w:rPr>
            </w:pPr>
          </w:p>
        </w:tc>
        <w:tc>
          <w:tcPr>
            <w:tcW w:w="82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w:t>
            </w:r>
          </w:p>
        </w:tc>
        <w:tc>
          <w:tcPr>
            <w:tcW w:w="98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w:t>
            </w:r>
          </w:p>
        </w:tc>
        <w:tc>
          <w:tcPr>
            <w:tcW w:w="162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w:t>
            </w:r>
          </w:p>
        </w:tc>
        <w:tc>
          <w:tcPr>
            <w:tcW w:w="121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1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3" w:type="dxa"/>
            <w:gridSpan w:val="2"/>
            <w:vMerge w:val="continue"/>
            <w:vAlign w:val="center"/>
          </w:tcPr>
          <w:p>
            <w:pPr>
              <w:widowControl/>
              <w:jc w:val="left"/>
              <w:rPr>
                <w:rFonts w:hint="eastAsia" w:ascii="宋体" w:hAnsi="宋体" w:cs="宋体"/>
                <w:color w:val="000000"/>
                <w:kern w:val="0"/>
                <w:sz w:val="20"/>
                <w:szCs w:val="20"/>
              </w:rPr>
            </w:pPr>
          </w:p>
        </w:tc>
        <w:tc>
          <w:tcPr>
            <w:tcW w:w="82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w:t>
            </w:r>
          </w:p>
        </w:tc>
        <w:tc>
          <w:tcPr>
            <w:tcW w:w="98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w:t>
            </w:r>
          </w:p>
        </w:tc>
        <w:tc>
          <w:tcPr>
            <w:tcW w:w="162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w:t>
            </w:r>
          </w:p>
        </w:tc>
        <w:tc>
          <w:tcPr>
            <w:tcW w:w="121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1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3" w:type="dxa"/>
            <w:gridSpan w:val="2"/>
            <w:vMerge w:val="continue"/>
            <w:vAlign w:val="center"/>
          </w:tcPr>
          <w:p>
            <w:pPr>
              <w:widowControl/>
              <w:jc w:val="left"/>
              <w:rPr>
                <w:rFonts w:hint="eastAsia" w:ascii="宋体" w:hAnsi="宋体" w:cs="宋体"/>
                <w:color w:val="000000"/>
                <w:kern w:val="0"/>
                <w:sz w:val="20"/>
                <w:szCs w:val="20"/>
              </w:rPr>
            </w:pPr>
          </w:p>
        </w:tc>
        <w:tc>
          <w:tcPr>
            <w:tcW w:w="829"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708"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983"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620"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21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1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936"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5169"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2936" w:type="dxa"/>
            <w:gridSpan w:val="5"/>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设【2023】33号文件要求，为有效保障医保经办机构服务能力，木垒镇计划使用财政资金1.5万元，用于医保政策宣传、办公用品采购、监督检查及扩面征缴方面业务经费。项目实施后可有效提高医疗保险参保率、增加扩面覆盖率；改善经办服务环境，提高经办服务水平保障经办工作顺利开展。</w:t>
            </w:r>
          </w:p>
        </w:tc>
        <w:tc>
          <w:tcPr>
            <w:tcW w:w="5169" w:type="dxa"/>
            <w:gridSpan w:val="7"/>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项目已完成如下工作：完成木垒镇计划使用财政资金1.5万元，用于医保政策宣传、办公用品采购、监督检查及扩面征缴方面业务经费。项目实施后可有效提高医疗保险参保率、增加扩面覆盖率；改善经办服务环境，提高经办服务水平保障经办工作顺利开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8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850"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8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6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1504"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205"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594"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87" w:type="dxa"/>
            <w:vMerge w:val="continue"/>
            <w:vAlign w:val="center"/>
          </w:tcPr>
          <w:p>
            <w:pPr>
              <w:widowControl/>
              <w:jc w:val="left"/>
              <w:rPr>
                <w:rFonts w:hint="eastAsia" w:ascii="宋体" w:hAnsi="宋体" w:cs="宋体"/>
                <w:color w:val="000000"/>
                <w:kern w:val="0"/>
                <w:sz w:val="20"/>
                <w:szCs w:val="20"/>
              </w:rPr>
            </w:pPr>
          </w:p>
        </w:tc>
        <w:tc>
          <w:tcPr>
            <w:tcW w:w="850" w:type="dxa"/>
            <w:gridSpan w:val="2"/>
            <w:vMerge w:val="continue"/>
            <w:vAlign w:val="center"/>
          </w:tcPr>
          <w:p>
            <w:pPr>
              <w:widowControl/>
              <w:jc w:val="left"/>
              <w:rPr>
                <w:rFonts w:hint="eastAsia" w:ascii="宋体" w:hAnsi="宋体" w:cs="宋体"/>
                <w:color w:val="000000"/>
                <w:kern w:val="0"/>
                <w:sz w:val="20"/>
                <w:szCs w:val="20"/>
              </w:rPr>
            </w:pPr>
          </w:p>
        </w:tc>
        <w:tc>
          <w:tcPr>
            <w:tcW w:w="983" w:type="dxa"/>
            <w:vMerge w:val="continue"/>
            <w:vAlign w:val="center"/>
          </w:tcPr>
          <w:p>
            <w:pPr>
              <w:widowControl/>
              <w:jc w:val="left"/>
              <w:rPr>
                <w:rFonts w:hint="eastAsia" w:ascii="宋体" w:hAnsi="宋体" w:cs="宋体"/>
                <w:color w:val="000000"/>
                <w:kern w:val="0"/>
                <w:sz w:val="20"/>
                <w:szCs w:val="20"/>
              </w:rPr>
            </w:pPr>
          </w:p>
        </w:tc>
        <w:tc>
          <w:tcPr>
            <w:tcW w:w="866" w:type="dxa"/>
            <w:vMerge w:val="continue"/>
            <w:vAlign w:val="center"/>
          </w:tcPr>
          <w:p>
            <w:pPr>
              <w:widowControl/>
              <w:jc w:val="left"/>
              <w:rPr>
                <w:rFonts w:hint="eastAsia" w:ascii="宋体" w:hAnsi="宋体" w:cs="宋体"/>
                <w:color w:val="000000"/>
                <w:kern w:val="0"/>
                <w:sz w:val="20"/>
                <w:szCs w:val="20"/>
              </w:rPr>
            </w:pPr>
          </w:p>
        </w:tc>
        <w:tc>
          <w:tcPr>
            <w:tcW w:w="1504" w:type="dxa"/>
            <w:gridSpan w:val="2"/>
            <w:vMerge w:val="continue"/>
            <w:vAlign w:val="center"/>
          </w:tcPr>
          <w:p>
            <w:pPr>
              <w:widowControl/>
              <w:jc w:val="left"/>
              <w:rPr>
                <w:rFonts w:hint="eastAsia" w:ascii="宋体" w:hAnsi="宋体" w:cs="宋体"/>
                <w:color w:val="000000"/>
                <w:kern w:val="0"/>
                <w:sz w:val="20"/>
                <w:szCs w:val="20"/>
              </w:rPr>
            </w:pPr>
          </w:p>
        </w:tc>
        <w:tc>
          <w:tcPr>
            <w:tcW w:w="1205" w:type="dxa"/>
            <w:gridSpan w:val="2"/>
            <w:vMerge w:val="continue"/>
            <w:vAlign w:val="center"/>
          </w:tcPr>
          <w:p>
            <w:pPr>
              <w:widowControl/>
              <w:jc w:val="left"/>
              <w:rPr>
                <w:rFonts w:hint="eastAsia" w:ascii="宋体" w:hAnsi="宋体" w:cs="宋体"/>
                <w:color w:val="000000"/>
                <w:kern w:val="0"/>
                <w:sz w:val="20"/>
                <w:szCs w:val="20"/>
              </w:rPr>
            </w:pPr>
          </w:p>
        </w:tc>
        <w:tc>
          <w:tcPr>
            <w:tcW w:w="1594"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8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85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医保政策宣传次数</w:t>
            </w:r>
          </w:p>
        </w:tc>
        <w:tc>
          <w:tcPr>
            <w:tcW w:w="98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&gt;=10次</w:t>
            </w:r>
          </w:p>
        </w:tc>
        <w:tc>
          <w:tcPr>
            <w:tcW w:w="86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=10次</w:t>
            </w:r>
          </w:p>
        </w:tc>
        <w:tc>
          <w:tcPr>
            <w:tcW w:w="150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8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85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办公用品采购数量</w:t>
            </w:r>
          </w:p>
        </w:tc>
        <w:tc>
          <w:tcPr>
            <w:tcW w:w="98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&gt;=5批</w:t>
            </w:r>
          </w:p>
        </w:tc>
        <w:tc>
          <w:tcPr>
            <w:tcW w:w="86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=5批</w:t>
            </w:r>
          </w:p>
        </w:tc>
        <w:tc>
          <w:tcPr>
            <w:tcW w:w="150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0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9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8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85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医疗保障收缴率</w:t>
            </w:r>
          </w:p>
        </w:tc>
        <w:tc>
          <w:tcPr>
            <w:tcW w:w="98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6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50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0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9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8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85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扩面征缴完成率</w:t>
            </w:r>
          </w:p>
        </w:tc>
        <w:tc>
          <w:tcPr>
            <w:tcW w:w="98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6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50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8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85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医保政策宣传及时率</w:t>
            </w:r>
          </w:p>
        </w:tc>
        <w:tc>
          <w:tcPr>
            <w:tcW w:w="98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6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50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8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85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98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86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50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0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59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8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85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8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6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0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0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9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8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85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8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6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0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0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9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8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85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8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6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0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0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9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8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85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扩面征缴覆盖率</w:t>
            </w:r>
          </w:p>
        </w:tc>
        <w:tc>
          <w:tcPr>
            <w:tcW w:w="98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&gt;=98%</w:t>
            </w:r>
          </w:p>
        </w:tc>
        <w:tc>
          <w:tcPr>
            <w:tcW w:w="86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w:t>
            </w:r>
          </w:p>
        </w:tc>
        <w:tc>
          <w:tcPr>
            <w:tcW w:w="150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8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85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医保政策知晓率</w:t>
            </w:r>
          </w:p>
        </w:tc>
        <w:tc>
          <w:tcPr>
            <w:tcW w:w="98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6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50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8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85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8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6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0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0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9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8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5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参保群众满意度</w:t>
            </w:r>
          </w:p>
        </w:tc>
        <w:tc>
          <w:tcPr>
            <w:tcW w:w="98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6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50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219"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150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0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59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仿宋_GB2312" w:hAnsi="仿宋_GB2312" w:eastAsia="仿宋_GB2312" w:cs="仿宋_GB2312"/>
          <w:kern w:val="0"/>
          <w:sz w:val="32"/>
          <w:szCs w:val="32"/>
          <w:lang w:eastAsia="zh-Hans"/>
        </w:rPr>
      </w:pPr>
    </w:p>
    <w:tbl>
      <w:tblPr>
        <w:tblStyle w:val="9"/>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7"/>
        <w:gridCol w:w="416"/>
        <w:gridCol w:w="693"/>
        <w:gridCol w:w="142"/>
        <w:gridCol w:w="850"/>
        <w:gridCol w:w="142"/>
        <w:gridCol w:w="916"/>
        <w:gridCol w:w="816"/>
        <w:gridCol w:w="420"/>
        <w:gridCol w:w="1071"/>
        <w:gridCol w:w="408"/>
        <w:gridCol w:w="709"/>
        <w:gridCol w:w="720"/>
        <w:gridCol w:w="8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8522" w:type="dxa"/>
            <w:gridSpan w:val="14"/>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522" w:type="dxa"/>
            <w:gridSpan w:val="1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89" w:type="dxa"/>
            <w:gridSpan w:val="1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木垒镇明珠社区办公楼及零散栋楼安装视频监控电路劳务费及材料费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743"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木垒县木垒镇政府</w:t>
            </w:r>
          </w:p>
        </w:tc>
        <w:tc>
          <w:tcPr>
            <w:tcW w:w="123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710"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833"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3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05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23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47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42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0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3" w:type="dxa"/>
            <w:gridSpan w:val="2"/>
            <w:vMerge w:val="continue"/>
            <w:vAlign w:val="center"/>
          </w:tcPr>
          <w:p>
            <w:pPr>
              <w:widowControl/>
              <w:jc w:val="left"/>
              <w:rPr>
                <w:rFonts w:hint="eastAsia" w:ascii="宋体" w:hAnsi="宋体" w:cs="宋体"/>
                <w:color w:val="000000"/>
                <w:kern w:val="0"/>
                <w:sz w:val="20"/>
                <w:szCs w:val="20"/>
              </w:rPr>
            </w:pPr>
          </w:p>
        </w:tc>
        <w:tc>
          <w:tcPr>
            <w:tcW w:w="83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41.16</w:t>
            </w:r>
          </w:p>
        </w:tc>
        <w:tc>
          <w:tcPr>
            <w:tcW w:w="105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41.16</w:t>
            </w:r>
          </w:p>
        </w:tc>
        <w:tc>
          <w:tcPr>
            <w:tcW w:w="123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41.16</w:t>
            </w:r>
          </w:p>
        </w:tc>
        <w:tc>
          <w:tcPr>
            <w:tcW w:w="147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2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0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3" w:type="dxa"/>
            <w:gridSpan w:val="2"/>
            <w:vMerge w:val="continue"/>
            <w:vAlign w:val="center"/>
          </w:tcPr>
          <w:p>
            <w:pPr>
              <w:widowControl/>
              <w:jc w:val="left"/>
              <w:rPr>
                <w:rFonts w:hint="eastAsia" w:ascii="宋体" w:hAnsi="宋体" w:cs="宋体"/>
                <w:color w:val="000000"/>
                <w:kern w:val="0"/>
                <w:sz w:val="20"/>
                <w:szCs w:val="20"/>
              </w:rPr>
            </w:pPr>
          </w:p>
        </w:tc>
        <w:tc>
          <w:tcPr>
            <w:tcW w:w="83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41.16</w:t>
            </w:r>
          </w:p>
        </w:tc>
        <w:tc>
          <w:tcPr>
            <w:tcW w:w="105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41.16</w:t>
            </w:r>
          </w:p>
        </w:tc>
        <w:tc>
          <w:tcPr>
            <w:tcW w:w="123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41.16</w:t>
            </w:r>
          </w:p>
        </w:tc>
        <w:tc>
          <w:tcPr>
            <w:tcW w:w="147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2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0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3" w:type="dxa"/>
            <w:gridSpan w:val="2"/>
            <w:vMerge w:val="continue"/>
            <w:vAlign w:val="center"/>
          </w:tcPr>
          <w:p>
            <w:pPr>
              <w:widowControl/>
              <w:jc w:val="left"/>
              <w:rPr>
                <w:rFonts w:hint="eastAsia" w:ascii="宋体" w:hAnsi="宋体" w:cs="宋体"/>
                <w:color w:val="000000"/>
                <w:kern w:val="0"/>
                <w:sz w:val="20"/>
                <w:szCs w:val="20"/>
              </w:rPr>
            </w:pPr>
          </w:p>
        </w:tc>
        <w:tc>
          <w:tcPr>
            <w:tcW w:w="835"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850"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058"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236"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47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2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0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159"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946"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3159" w:type="dxa"/>
            <w:gridSpan w:val="6"/>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预【2023】82号文件，计划将木垒镇明珠社区办公楼及零散栋楼安装视频监控电路劳务费及材料费41.16万元，主要用于解决两个项目的欠款，木垒镇明珠社区办公楼5万元，零散栋楼安装视频监控电路劳务费及材料费31.16万元，保障了商户的基本权益。</w:t>
            </w:r>
          </w:p>
        </w:tc>
        <w:tc>
          <w:tcPr>
            <w:tcW w:w="4946" w:type="dxa"/>
            <w:gridSpan w:val="7"/>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项目已完成如下工作：涉及镇机关及社区数量2个，完成木垒镇明珠社区办公楼及零散栋楼安装视频监控电路劳务费及材料费41.16万元，两个项目的欠款，木垒镇明珠社区办公楼5万元，零散栋楼安装视频监控电路劳务费及材料费31.16万元，保障了商户的基本权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9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34" w:type="dxa"/>
            <w:gridSpan w:val="3"/>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1491"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117"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52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vMerge w:val="continue"/>
            <w:vAlign w:val="center"/>
          </w:tcPr>
          <w:p>
            <w:pPr>
              <w:widowControl/>
              <w:jc w:val="left"/>
              <w:rPr>
                <w:rFonts w:hint="eastAsia" w:ascii="宋体" w:hAnsi="宋体" w:cs="宋体"/>
                <w:color w:val="000000"/>
                <w:kern w:val="0"/>
                <w:sz w:val="20"/>
                <w:szCs w:val="20"/>
              </w:rPr>
            </w:pPr>
          </w:p>
        </w:tc>
        <w:tc>
          <w:tcPr>
            <w:tcW w:w="1134" w:type="dxa"/>
            <w:gridSpan w:val="3"/>
            <w:vMerge w:val="continue"/>
            <w:vAlign w:val="center"/>
          </w:tcPr>
          <w:p>
            <w:pPr>
              <w:widowControl/>
              <w:jc w:val="left"/>
              <w:rPr>
                <w:rFonts w:hint="eastAsia" w:ascii="宋体" w:hAnsi="宋体" w:cs="宋体"/>
                <w:color w:val="000000"/>
                <w:kern w:val="0"/>
                <w:sz w:val="20"/>
                <w:szCs w:val="20"/>
              </w:rPr>
            </w:pPr>
          </w:p>
        </w:tc>
        <w:tc>
          <w:tcPr>
            <w:tcW w:w="916" w:type="dxa"/>
            <w:vMerge w:val="continue"/>
            <w:vAlign w:val="center"/>
          </w:tcPr>
          <w:p>
            <w:pPr>
              <w:widowControl/>
              <w:jc w:val="left"/>
              <w:rPr>
                <w:rFonts w:hint="eastAsia" w:ascii="宋体" w:hAnsi="宋体" w:cs="宋体"/>
                <w:color w:val="000000"/>
                <w:kern w:val="0"/>
                <w:sz w:val="20"/>
                <w:szCs w:val="20"/>
              </w:rPr>
            </w:pPr>
          </w:p>
        </w:tc>
        <w:tc>
          <w:tcPr>
            <w:tcW w:w="816" w:type="dxa"/>
            <w:vMerge w:val="continue"/>
            <w:vAlign w:val="center"/>
          </w:tcPr>
          <w:p>
            <w:pPr>
              <w:widowControl/>
              <w:jc w:val="left"/>
              <w:rPr>
                <w:rFonts w:hint="eastAsia" w:ascii="宋体" w:hAnsi="宋体" w:cs="宋体"/>
                <w:color w:val="000000"/>
                <w:kern w:val="0"/>
                <w:sz w:val="20"/>
                <w:szCs w:val="20"/>
              </w:rPr>
            </w:pPr>
          </w:p>
        </w:tc>
        <w:tc>
          <w:tcPr>
            <w:tcW w:w="1491" w:type="dxa"/>
            <w:gridSpan w:val="2"/>
            <w:vMerge w:val="continue"/>
            <w:vAlign w:val="center"/>
          </w:tcPr>
          <w:p>
            <w:pPr>
              <w:widowControl/>
              <w:jc w:val="left"/>
              <w:rPr>
                <w:rFonts w:hint="eastAsia" w:ascii="宋体" w:hAnsi="宋体" w:cs="宋体"/>
                <w:color w:val="000000"/>
                <w:kern w:val="0"/>
                <w:sz w:val="20"/>
                <w:szCs w:val="20"/>
              </w:rPr>
            </w:pPr>
          </w:p>
        </w:tc>
        <w:tc>
          <w:tcPr>
            <w:tcW w:w="1117" w:type="dxa"/>
            <w:gridSpan w:val="2"/>
            <w:vMerge w:val="continue"/>
            <w:vAlign w:val="center"/>
          </w:tcPr>
          <w:p>
            <w:pPr>
              <w:widowControl/>
              <w:jc w:val="left"/>
              <w:rPr>
                <w:rFonts w:hint="eastAsia" w:ascii="宋体" w:hAnsi="宋体" w:cs="宋体"/>
                <w:color w:val="000000"/>
                <w:kern w:val="0"/>
                <w:sz w:val="20"/>
                <w:szCs w:val="20"/>
              </w:rPr>
            </w:pPr>
          </w:p>
        </w:tc>
        <w:tc>
          <w:tcPr>
            <w:tcW w:w="1522"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涉及镇机关及社区数量</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&gt;=2个</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=2个</w:t>
            </w:r>
          </w:p>
        </w:tc>
        <w:tc>
          <w:tcPr>
            <w:tcW w:w="149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1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52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项目资金支付率</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49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1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2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资金支付及时率</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49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1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2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监控运行维护成本</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&lt;=36.16万元</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=36.16万元</w:t>
            </w:r>
          </w:p>
        </w:tc>
        <w:tc>
          <w:tcPr>
            <w:tcW w:w="149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1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2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小区党支部装修成本</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&lt;=5万元</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=5万元</w:t>
            </w:r>
          </w:p>
        </w:tc>
        <w:tc>
          <w:tcPr>
            <w:tcW w:w="149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1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2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商户投诉事件</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149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1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2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9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1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2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9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1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2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项目正常运转率</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49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1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52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9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1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2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商户满意度</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49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1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2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392" w:type="dxa"/>
            <w:gridSpan w:val="8"/>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149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1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52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仿宋_GB2312" w:hAnsi="仿宋_GB2312" w:eastAsia="仿宋_GB2312" w:cs="仿宋_GB2312"/>
          <w:kern w:val="0"/>
          <w:sz w:val="32"/>
          <w:szCs w:val="32"/>
          <w:lang w:eastAsia="zh-Hans"/>
        </w:rPr>
      </w:pPr>
    </w:p>
    <w:tbl>
      <w:tblPr>
        <w:tblStyle w:val="9"/>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694"/>
        <w:gridCol w:w="142"/>
        <w:gridCol w:w="850"/>
        <w:gridCol w:w="109"/>
        <w:gridCol w:w="828"/>
        <w:gridCol w:w="716"/>
        <w:gridCol w:w="597"/>
        <w:gridCol w:w="1042"/>
        <w:gridCol w:w="461"/>
        <w:gridCol w:w="693"/>
        <w:gridCol w:w="743"/>
        <w:gridCol w:w="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8522" w:type="dxa"/>
            <w:gridSpan w:val="14"/>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522" w:type="dxa"/>
            <w:gridSpan w:val="1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90" w:type="dxa"/>
            <w:gridSpan w:val="1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社区养老服务站建设项目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623"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木垒县木垒镇政府</w:t>
            </w:r>
          </w:p>
        </w:tc>
        <w:tc>
          <w:tcPr>
            <w:tcW w:w="131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754"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83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3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93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31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50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43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1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83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34.68</w:t>
            </w:r>
          </w:p>
        </w:tc>
        <w:tc>
          <w:tcPr>
            <w:tcW w:w="93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34.68</w:t>
            </w:r>
          </w:p>
        </w:tc>
        <w:tc>
          <w:tcPr>
            <w:tcW w:w="131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34.51</w:t>
            </w:r>
          </w:p>
        </w:tc>
        <w:tc>
          <w:tcPr>
            <w:tcW w:w="150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3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99.51%</w:t>
            </w:r>
          </w:p>
        </w:tc>
        <w:tc>
          <w:tcPr>
            <w:tcW w:w="81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83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34.68</w:t>
            </w:r>
          </w:p>
        </w:tc>
        <w:tc>
          <w:tcPr>
            <w:tcW w:w="93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34.68</w:t>
            </w:r>
          </w:p>
        </w:tc>
        <w:tc>
          <w:tcPr>
            <w:tcW w:w="131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34.51</w:t>
            </w:r>
          </w:p>
        </w:tc>
        <w:tc>
          <w:tcPr>
            <w:tcW w:w="150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3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836"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850"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937"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313"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50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3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039"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5067"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3039" w:type="dxa"/>
            <w:gridSpan w:val="6"/>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依据木垒县民政局向财政局申请下拨核减的专项资金的申请以及木财预字【2023】12号文件，计划将木垒镇社区养老服务站建设项目34.68万元，用于打造新城社区和园林社区木垒镇社区养老服务站。</w:t>
            </w:r>
          </w:p>
        </w:tc>
        <w:tc>
          <w:tcPr>
            <w:tcW w:w="5067" w:type="dxa"/>
            <w:gridSpan w:val="7"/>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本项目已完成如下工作：完成木垒镇社区养老服务站建设项目34.68万元，用于打造2个新城社区和园林社区木垒镇社区养老服务站，养老占服务面积为150平方米。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9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01" w:type="dxa"/>
            <w:gridSpan w:val="3"/>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2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1639"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154"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558"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vMerge w:val="continue"/>
            <w:vAlign w:val="center"/>
          </w:tcPr>
          <w:p>
            <w:pPr>
              <w:widowControl/>
              <w:jc w:val="left"/>
              <w:rPr>
                <w:rFonts w:hint="eastAsia" w:ascii="宋体" w:hAnsi="宋体" w:cs="宋体"/>
                <w:color w:val="000000"/>
                <w:kern w:val="0"/>
                <w:sz w:val="20"/>
                <w:szCs w:val="20"/>
              </w:rPr>
            </w:pPr>
          </w:p>
        </w:tc>
        <w:tc>
          <w:tcPr>
            <w:tcW w:w="1101" w:type="dxa"/>
            <w:gridSpan w:val="3"/>
            <w:vMerge w:val="continue"/>
            <w:vAlign w:val="center"/>
          </w:tcPr>
          <w:p>
            <w:pPr>
              <w:widowControl/>
              <w:jc w:val="left"/>
              <w:rPr>
                <w:rFonts w:hint="eastAsia" w:ascii="宋体" w:hAnsi="宋体" w:cs="宋体"/>
                <w:color w:val="000000"/>
                <w:kern w:val="0"/>
                <w:sz w:val="20"/>
                <w:szCs w:val="20"/>
              </w:rPr>
            </w:pPr>
          </w:p>
        </w:tc>
        <w:tc>
          <w:tcPr>
            <w:tcW w:w="828" w:type="dxa"/>
            <w:vMerge w:val="continue"/>
            <w:vAlign w:val="center"/>
          </w:tcPr>
          <w:p>
            <w:pPr>
              <w:widowControl/>
              <w:jc w:val="left"/>
              <w:rPr>
                <w:rFonts w:hint="eastAsia" w:ascii="宋体" w:hAnsi="宋体" w:cs="宋体"/>
                <w:color w:val="000000"/>
                <w:kern w:val="0"/>
                <w:sz w:val="20"/>
                <w:szCs w:val="20"/>
              </w:rPr>
            </w:pPr>
          </w:p>
        </w:tc>
        <w:tc>
          <w:tcPr>
            <w:tcW w:w="716" w:type="dxa"/>
            <w:vMerge w:val="continue"/>
            <w:vAlign w:val="center"/>
          </w:tcPr>
          <w:p>
            <w:pPr>
              <w:widowControl/>
              <w:jc w:val="left"/>
              <w:rPr>
                <w:rFonts w:hint="eastAsia" w:ascii="宋体" w:hAnsi="宋体" w:cs="宋体"/>
                <w:color w:val="000000"/>
                <w:kern w:val="0"/>
                <w:sz w:val="20"/>
                <w:szCs w:val="20"/>
              </w:rPr>
            </w:pPr>
          </w:p>
        </w:tc>
        <w:tc>
          <w:tcPr>
            <w:tcW w:w="1639" w:type="dxa"/>
            <w:gridSpan w:val="2"/>
            <w:vMerge w:val="continue"/>
            <w:vAlign w:val="center"/>
          </w:tcPr>
          <w:p>
            <w:pPr>
              <w:widowControl/>
              <w:jc w:val="left"/>
              <w:rPr>
                <w:rFonts w:hint="eastAsia" w:ascii="宋体" w:hAnsi="宋体" w:cs="宋体"/>
                <w:color w:val="000000"/>
                <w:kern w:val="0"/>
                <w:sz w:val="20"/>
                <w:szCs w:val="20"/>
              </w:rPr>
            </w:pPr>
          </w:p>
        </w:tc>
        <w:tc>
          <w:tcPr>
            <w:tcW w:w="1154" w:type="dxa"/>
            <w:gridSpan w:val="2"/>
            <w:vMerge w:val="continue"/>
            <w:vAlign w:val="center"/>
          </w:tcPr>
          <w:p>
            <w:pPr>
              <w:widowControl/>
              <w:jc w:val="left"/>
              <w:rPr>
                <w:rFonts w:hint="eastAsia" w:ascii="宋体" w:hAnsi="宋体" w:cs="宋体"/>
                <w:color w:val="000000"/>
                <w:kern w:val="0"/>
                <w:sz w:val="20"/>
                <w:szCs w:val="20"/>
              </w:rPr>
            </w:pPr>
          </w:p>
        </w:tc>
        <w:tc>
          <w:tcPr>
            <w:tcW w:w="1558"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01"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打造木垒镇社区养老服务站数量</w:t>
            </w:r>
          </w:p>
        </w:tc>
        <w:tc>
          <w:tcPr>
            <w:tcW w:w="8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&gt;=2个</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=2个</w:t>
            </w:r>
          </w:p>
        </w:tc>
        <w:tc>
          <w:tcPr>
            <w:tcW w:w="163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5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01"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打造养老服务站面积</w:t>
            </w:r>
          </w:p>
        </w:tc>
        <w:tc>
          <w:tcPr>
            <w:tcW w:w="8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&gt;=150平方米</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=150平方米</w:t>
            </w:r>
          </w:p>
        </w:tc>
        <w:tc>
          <w:tcPr>
            <w:tcW w:w="163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5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01"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工程竣工验收合格率</w:t>
            </w:r>
          </w:p>
        </w:tc>
        <w:tc>
          <w:tcPr>
            <w:tcW w:w="8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63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5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01"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项目按计划完成时间</w:t>
            </w:r>
          </w:p>
        </w:tc>
        <w:tc>
          <w:tcPr>
            <w:tcW w:w="8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&lt;=30天</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=30天</w:t>
            </w:r>
          </w:p>
        </w:tc>
        <w:tc>
          <w:tcPr>
            <w:tcW w:w="163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5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01"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63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5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55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01"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3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5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01"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3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5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01"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3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5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01"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受益老年人人数</w:t>
            </w:r>
          </w:p>
        </w:tc>
        <w:tc>
          <w:tcPr>
            <w:tcW w:w="8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&gt;=150人</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=150人</w:t>
            </w:r>
          </w:p>
        </w:tc>
        <w:tc>
          <w:tcPr>
            <w:tcW w:w="163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5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55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01"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3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5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01"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受益老年人满意度</w:t>
            </w:r>
          </w:p>
        </w:tc>
        <w:tc>
          <w:tcPr>
            <w:tcW w:w="8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63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5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171" w:type="dxa"/>
            <w:gridSpan w:val="8"/>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163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5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55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仿宋_GB2312" w:hAnsi="仿宋_GB2312" w:eastAsia="仿宋_GB2312" w:cs="仿宋_GB2312"/>
          <w:kern w:val="0"/>
          <w:sz w:val="32"/>
          <w:szCs w:val="32"/>
          <w:lang w:eastAsia="zh-Hans"/>
        </w:rPr>
      </w:pPr>
    </w:p>
    <w:tbl>
      <w:tblPr>
        <w:tblStyle w:val="9"/>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692"/>
        <w:gridCol w:w="142"/>
        <w:gridCol w:w="992"/>
        <w:gridCol w:w="816"/>
        <w:gridCol w:w="716"/>
        <w:gridCol w:w="870"/>
        <w:gridCol w:w="794"/>
        <w:gridCol w:w="474"/>
        <w:gridCol w:w="700"/>
        <w:gridCol w:w="750"/>
        <w:gridCol w:w="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8522" w:type="dxa"/>
            <w:gridSpan w:val="13"/>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522" w:type="dxa"/>
            <w:gridSpan w:val="1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90" w:type="dxa"/>
            <w:gridSpan w:val="11"/>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未成年人保护工作站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642"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木垒县木垒镇政府</w:t>
            </w:r>
          </w:p>
        </w:tc>
        <w:tc>
          <w:tcPr>
            <w:tcW w:w="158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462"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83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58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26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45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4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8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w:t>
            </w:r>
          </w:p>
        </w:tc>
        <w:tc>
          <w:tcPr>
            <w:tcW w:w="158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1.63</w:t>
            </w:r>
          </w:p>
        </w:tc>
        <w:tc>
          <w:tcPr>
            <w:tcW w:w="126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5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54.33%</w:t>
            </w:r>
          </w:p>
        </w:tc>
        <w:tc>
          <w:tcPr>
            <w:tcW w:w="74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8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w:t>
            </w:r>
          </w:p>
        </w:tc>
        <w:tc>
          <w:tcPr>
            <w:tcW w:w="158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1.63</w:t>
            </w:r>
          </w:p>
        </w:tc>
        <w:tc>
          <w:tcPr>
            <w:tcW w:w="126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5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4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834"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992"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816"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586"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26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5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4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058"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5048"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3058" w:type="dxa"/>
            <w:gridSpan w:val="5"/>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依据木垒县民政局向财政局申请下拨核减的专项资金的申请以及木财预字【2023】12号文件，计划将未成年人保护工作站3万元资金，用于在镇机关民政办公室打造未成年人保护站。</w:t>
            </w:r>
          </w:p>
        </w:tc>
        <w:tc>
          <w:tcPr>
            <w:tcW w:w="5048" w:type="dxa"/>
            <w:gridSpan w:val="7"/>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本项目已完成如下工作：完成未成年人保护工作站1.63万元资金，用于在镇机关民政办公室打造未成年人保护站。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92"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34"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1664"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174"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494"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2" w:type="dxa"/>
            <w:vMerge w:val="continue"/>
            <w:vAlign w:val="center"/>
          </w:tcPr>
          <w:p>
            <w:pPr>
              <w:widowControl/>
              <w:jc w:val="left"/>
              <w:rPr>
                <w:rFonts w:hint="eastAsia" w:ascii="宋体" w:hAnsi="宋体" w:cs="宋体"/>
                <w:color w:val="000000"/>
                <w:kern w:val="0"/>
                <w:sz w:val="20"/>
                <w:szCs w:val="20"/>
              </w:rPr>
            </w:pPr>
          </w:p>
        </w:tc>
        <w:tc>
          <w:tcPr>
            <w:tcW w:w="1134" w:type="dxa"/>
            <w:gridSpan w:val="2"/>
            <w:vMerge w:val="continue"/>
            <w:vAlign w:val="center"/>
          </w:tcPr>
          <w:p>
            <w:pPr>
              <w:widowControl/>
              <w:jc w:val="left"/>
              <w:rPr>
                <w:rFonts w:hint="eastAsia" w:ascii="宋体" w:hAnsi="宋体" w:cs="宋体"/>
                <w:color w:val="000000"/>
                <w:kern w:val="0"/>
                <w:sz w:val="20"/>
                <w:szCs w:val="20"/>
              </w:rPr>
            </w:pPr>
          </w:p>
        </w:tc>
        <w:tc>
          <w:tcPr>
            <w:tcW w:w="816" w:type="dxa"/>
            <w:vMerge w:val="continue"/>
            <w:vAlign w:val="center"/>
          </w:tcPr>
          <w:p>
            <w:pPr>
              <w:widowControl/>
              <w:jc w:val="left"/>
              <w:rPr>
                <w:rFonts w:hint="eastAsia" w:ascii="宋体" w:hAnsi="宋体" w:cs="宋体"/>
                <w:color w:val="000000"/>
                <w:kern w:val="0"/>
                <w:sz w:val="20"/>
                <w:szCs w:val="20"/>
              </w:rPr>
            </w:pPr>
          </w:p>
        </w:tc>
        <w:tc>
          <w:tcPr>
            <w:tcW w:w="716" w:type="dxa"/>
            <w:vMerge w:val="continue"/>
            <w:vAlign w:val="center"/>
          </w:tcPr>
          <w:p>
            <w:pPr>
              <w:widowControl/>
              <w:jc w:val="left"/>
              <w:rPr>
                <w:rFonts w:hint="eastAsia" w:ascii="宋体" w:hAnsi="宋体" w:cs="宋体"/>
                <w:color w:val="000000"/>
                <w:kern w:val="0"/>
                <w:sz w:val="20"/>
                <w:szCs w:val="20"/>
              </w:rPr>
            </w:pPr>
          </w:p>
        </w:tc>
        <w:tc>
          <w:tcPr>
            <w:tcW w:w="1664" w:type="dxa"/>
            <w:gridSpan w:val="2"/>
            <w:vMerge w:val="continue"/>
            <w:vAlign w:val="center"/>
          </w:tcPr>
          <w:p>
            <w:pPr>
              <w:widowControl/>
              <w:jc w:val="left"/>
              <w:rPr>
                <w:rFonts w:hint="eastAsia" w:ascii="宋体" w:hAnsi="宋体" w:cs="宋体"/>
                <w:color w:val="000000"/>
                <w:kern w:val="0"/>
                <w:sz w:val="20"/>
                <w:szCs w:val="20"/>
              </w:rPr>
            </w:pPr>
          </w:p>
        </w:tc>
        <w:tc>
          <w:tcPr>
            <w:tcW w:w="1174" w:type="dxa"/>
            <w:gridSpan w:val="2"/>
            <w:vMerge w:val="continue"/>
            <w:vAlign w:val="center"/>
          </w:tcPr>
          <w:p>
            <w:pPr>
              <w:widowControl/>
              <w:jc w:val="left"/>
              <w:rPr>
                <w:rFonts w:hint="eastAsia" w:ascii="宋体" w:hAnsi="宋体" w:cs="宋体"/>
                <w:color w:val="000000"/>
                <w:kern w:val="0"/>
                <w:sz w:val="20"/>
                <w:szCs w:val="20"/>
              </w:rPr>
            </w:pPr>
          </w:p>
        </w:tc>
        <w:tc>
          <w:tcPr>
            <w:tcW w:w="1494"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4"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打造未成年人保护站数量</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166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9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补助资金使用率</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66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9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未成年人保护站建设完成率</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66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9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34"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未成年人保护站建设完成及时率</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66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9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34"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66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49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34"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6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9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34"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6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9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34"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6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9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34"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受益未成年人数</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&gt;=120人</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=120人</w:t>
            </w:r>
          </w:p>
        </w:tc>
        <w:tc>
          <w:tcPr>
            <w:tcW w:w="166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9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34"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未成年人侵害事件降低率</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166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9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34"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6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9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34"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未成年人家长满意度</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66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9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190"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166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90分</w:t>
            </w:r>
          </w:p>
        </w:tc>
        <w:tc>
          <w:tcPr>
            <w:tcW w:w="149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widowControl/>
        <w:jc w:val="left"/>
        <w:rPr>
          <w:rFonts w:hint="eastAsia" w:ascii="仿宋_GB2312" w:hAnsi="仿宋_GB2312" w:eastAsia="仿宋_GB2312" w:cs="仿宋_GB2312"/>
          <w:kern w:val="0"/>
          <w:sz w:val="32"/>
          <w:szCs w:val="32"/>
          <w:lang w:eastAsia="zh-Hans"/>
        </w:rPr>
      </w:pPr>
    </w:p>
    <w:tbl>
      <w:tblPr>
        <w:tblStyle w:val="9"/>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7"/>
        <w:gridCol w:w="416"/>
        <w:gridCol w:w="693"/>
        <w:gridCol w:w="992"/>
        <w:gridCol w:w="142"/>
        <w:gridCol w:w="816"/>
        <w:gridCol w:w="716"/>
        <w:gridCol w:w="837"/>
        <w:gridCol w:w="753"/>
        <w:gridCol w:w="448"/>
        <w:gridCol w:w="727"/>
        <w:gridCol w:w="755"/>
        <w:gridCol w:w="8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8522" w:type="dxa"/>
            <w:gridSpan w:val="13"/>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522" w:type="dxa"/>
            <w:gridSpan w:val="1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89" w:type="dxa"/>
            <w:gridSpan w:val="11"/>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乡镇人大代表之家活动经费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643"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木垒县木垒镇政府</w:t>
            </w:r>
          </w:p>
        </w:tc>
        <w:tc>
          <w:tcPr>
            <w:tcW w:w="155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493"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833"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95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55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20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48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1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3" w:type="dxa"/>
            <w:gridSpan w:val="2"/>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12.00</w:t>
            </w:r>
          </w:p>
        </w:tc>
        <w:tc>
          <w:tcPr>
            <w:tcW w:w="95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3.99</w:t>
            </w:r>
          </w:p>
        </w:tc>
        <w:tc>
          <w:tcPr>
            <w:tcW w:w="155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3.99</w:t>
            </w:r>
          </w:p>
        </w:tc>
        <w:tc>
          <w:tcPr>
            <w:tcW w:w="120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8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1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3" w:type="dxa"/>
            <w:gridSpan w:val="2"/>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12.00</w:t>
            </w:r>
          </w:p>
        </w:tc>
        <w:tc>
          <w:tcPr>
            <w:tcW w:w="95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3.99</w:t>
            </w:r>
          </w:p>
        </w:tc>
        <w:tc>
          <w:tcPr>
            <w:tcW w:w="155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3.99</w:t>
            </w:r>
          </w:p>
        </w:tc>
        <w:tc>
          <w:tcPr>
            <w:tcW w:w="120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8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3" w:type="dxa"/>
            <w:gridSpan w:val="2"/>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992"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958"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553"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20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8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059"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5046"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3059" w:type="dxa"/>
            <w:gridSpan w:val="5"/>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1号文件要求，木垒县木垒镇人民政府为充分发挥人大代表积极履行宪法和法律赋予的职能，保障我镇人大代表各项调研和专题活动的顺利开展，计划使用财政资金12万元用于举办人大活动，购置办公用品，打造新城人大代表之家。</w:t>
            </w:r>
          </w:p>
        </w:tc>
        <w:tc>
          <w:tcPr>
            <w:tcW w:w="5046" w:type="dxa"/>
            <w:gridSpan w:val="7"/>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项目已完成如下工作：完成木垒县木垒镇人民政府为充分发挥人大代表积极履行宪法和法律赋予的职能，保障我镇人大代表各项调研和专题活动的顺利开展，使用财政资金3.99万元用于举办人大活动，购置办公用品，打造新城人大代表之家6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9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34"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1590"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175"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565"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vMerge w:val="continue"/>
            <w:vAlign w:val="center"/>
          </w:tcPr>
          <w:p>
            <w:pPr>
              <w:widowControl/>
              <w:jc w:val="left"/>
              <w:rPr>
                <w:rFonts w:hint="eastAsia" w:ascii="宋体" w:hAnsi="宋体" w:cs="宋体"/>
                <w:color w:val="000000"/>
                <w:kern w:val="0"/>
                <w:sz w:val="20"/>
                <w:szCs w:val="20"/>
              </w:rPr>
            </w:pPr>
          </w:p>
        </w:tc>
        <w:tc>
          <w:tcPr>
            <w:tcW w:w="1134" w:type="dxa"/>
            <w:gridSpan w:val="2"/>
            <w:vMerge w:val="continue"/>
            <w:vAlign w:val="center"/>
          </w:tcPr>
          <w:p>
            <w:pPr>
              <w:widowControl/>
              <w:jc w:val="left"/>
              <w:rPr>
                <w:rFonts w:hint="eastAsia" w:ascii="宋体" w:hAnsi="宋体" w:cs="宋体"/>
                <w:color w:val="000000"/>
                <w:kern w:val="0"/>
                <w:sz w:val="20"/>
                <w:szCs w:val="20"/>
              </w:rPr>
            </w:pPr>
          </w:p>
        </w:tc>
        <w:tc>
          <w:tcPr>
            <w:tcW w:w="816" w:type="dxa"/>
            <w:vMerge w:val="continue"/>
            <w:vAlign w:val="center"/>
          </w:tcPr>
          <w:p>
            <w:pPr>
              <w:widowControl/>
              <w:jc w:val="left"/>
              <w:rPr>
                <w:rFonts w:hint="eastAsia" w:ascii="宋体" w:hAnsi="宋体" w:cs="宋体"/>
                <w:color w:val="000000"/>
                <w:kern w:val="0"/>
                <w:sz w:val="20"/>
                <w:szCs w:val="20"/>
              </w:rPr>
            </w:pPr>
          </w:p>
        </w:tc>
        <w:tc>
          <w:tcPr>
            <w:tcW w:w="716" w:type="dxa"/>
            <w:vMerge w:val="continue"/>
            <w:vAlign w:val="center"/>
          </w:tcPr>
          <w:p>
            <w:pPr>
              <w:widowControl/>
              <w:jc w:val="left"/>
              <w:rPr>
                <w:rFonts w:hint="eastAsia" w:ascii="宋体" w:hAnsi="宋体" w:cs="宋体"/>
                <w:color w:val="000000"/>
                <w:kern w:val="0"/>
                <w:sz w:val="20"/>
                <w:szCs w:val="20"/>
              </w:rPr>
            </w:pPr>
          </w:p>
        </w:tc>
        <w:tc>
          <w:tcPr>
            <w:tcW w:w="1590" w:type="dxa"/>
            <w:gridSpan w:val="2"/>
            <w:vMerge w:val="continue"/>
            <w:vAlign w:val="center"/>
          </w:tcPr>
          <w:p>
            <w:pPr>
              <w:widowControl/>
              <w:jc w:val="left"/>
              <w:rPr>
                <w:rFonts w:hint="eastAsia" w:ascii="宋体" w:hAnsi="宋体" w:cs="宋体"/>
                <w:color w:val="000000"/>
                <w:kern w:val="0"/>
                <w:sz w:val="20"/>
                <w:szCs w:val="20"/>
              </w:rPr>
            </w:pPr>
          </w:p>
        </w:tc>
        <w:tc>
          <w:tcPr>
            <w:tcW w:w="1175" w:type="dxa"/>
            <w:gridSpan w:val="2"/>
            <w:vMerge w:val="continue"/>
            <w:vAlign w:val="center"/>
          </w:tcPr>
          <w:p>
            <w:pPr>
              <w:widowControl/>
              <w:jc w:val="left"/>
              <w:rPr>
                <w:rFonts w:hint="eastAsia" w:ascii="宋体" w:hAnsi="宋体" w:cs="宋体"/>
                <w:color w:val="000000"/>
                <w:kern w:val="0"/>
                <w:sz w:val="20"/>
                <w:szCs w:val="20"/>
              </w:rPr>
            </w:pPr>
          </w:p>
        </w:tc>
        <w:tc>
          <w:tcPr>
            <w:tcW w:w="1565"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4"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保障人大代表之家数量</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=6个</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=6个</w:t>
            </w:r>
          </w:p>
        </w:tc>
        <w:tc>
          <w:tcPr>
            <w:tcW w:w="159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6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4"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举办活动次数</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&gt;=2次</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=2次</w:t>
            </w:r>
          </w:p>
        </w:tc>
        <w:tc>
          <w:tcPr>
            <w:tcW w:w="159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6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人大代表活动参与率</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59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6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34"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人大代表活动按时完成率</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59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6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34"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打造人大之家费用</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&lt;=3.99万元</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=3.99万元</w:t>
            </w:r>
          </w:p>
        </w:tc>
        <w:tc>
          <w:tcPr>
            <w:tcW w:w="159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56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34"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9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6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34"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9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6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34"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9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6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34"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群众政策知晓率</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159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6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34"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人大代表各项调研和专题活动保障率</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159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6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34"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9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6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34"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人大代表满意度</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59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6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192"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159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56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仿宋_GB2312" w:hAnsi="仿宋_GB2312" w:eastAsia="仿宋_GB2312" w:cs="仿宋_GB2312"/>
          <w:kern w:val="0"/>
          <w:sz w:val="32"/>
          <w:szCs w:val="32"/>
          <w:lang w:eastAsia="zh-Hans"/>
        </w:rPr>
      </w:pPr>
    </w:p>
    <w:tbl>
      <w:tblPr>
        <w:tblStyle w:val="9"/>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694"/>
        <w:gridCol w:w="142"/>
        <w:gridCol w:w="844"/>
        <w:gridCol w:w="844"/>
        <w:gridCol w:w="716"/>
        <w:gridCol w:w="748"/>
        <w:gridCol w:w="904"/>
        <w:gridCol w:w="466"/>
        <w:gridCol w:w="737"/>
        <w:gridCol w:w="779"/>
        <w:gridCol w:w="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8522" w:type="dxa"/>
            <w:gridSpan w:val="13"/>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522" w:type="dxa"/>
            <w:gridSpan w:val="1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90" w:type="dxa"/>
            <w:gridSpan w:val="11"/>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乡镇人大微实事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524"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木垒县木垒镇政府</w:t>
            </w:r>
          </w:p>
        </w:tc>
        <w:tc>
          <w:tcPr>
            <w:tcW w:w="146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702"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83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3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4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46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37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5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83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4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25.00</w:t>
            </w:r>
          </w:p>
        </w:tc>
        <w:tc>
          <w:tcPr>
            <w:tcW w:w="84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25.00</w:t>
            </w:r>
          </w:p>
        </w:tc>
        <w:tc>
          <w:tcPr>
            <w:tcW w:w="146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25.00</w:t>
            </w:r>
          </w:p>
        </w:tc>
        <w:tc>
          <w:tcPr>
            <w:tcW w:w="137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83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4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25.00</w:t>
            </w:r>
          </w:p>
        </w:tc>
        <w:tc>
          <w:tcPr>
            <w:tcW w:w="84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25.00</w:t>
            </w:r>
          </w:p>
        </w:tc>
        <w:tc>
          <w:tcPr>
            <w:tcW w:w="146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25.00</w:t>
            </w:r>
          </w:p>
        </w:tc>
        <w:tc>
          <w:tcPr>
            <w:tcW w:w="137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836"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844"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844"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464"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37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940"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5166"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2940" w:type="dxa"/>
            <w:gridSpan w:val="5"/>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依据木财预字【2023】1号文件要求，木垒木垒镇人民政府计划使用财政资金25万元，为我镇人大代表之家打造及老城社区打造；鑫金新二楼供水改造并为居民营造娱乐休闲环境，切实为居民办实事办好事。</w:t>
            </w:r>
          </w:p>
        </w:tc>
        <w:tc>
          <w:tcPr>
            <w:tcW w:w="5166" w:type="dxa"/>
            <w:gridSpan w:val="7"/>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本项目已完成如下工作：完成使用财政资金25万元，为我镇2个人大代表之家打造及老城社区打造；鑫金新二楼供水改造并为居民营造娱乐休闲环境，切实为居民办实事办好事。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9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986"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4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165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203"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595"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vMerge w:val="continue"/>
            <w:vAlign w:val="center"/>
          </w:tcPr>
          <w:p>
            <w:pPr>
              <w:widowControl/>
              <w:jc w:val="left"/>
              <w:rPr>
                <w:rFonts w:hint="eastAsia" w:ascii="宋体" w:hAnsi="宋体" w:cs="宋体"/>
                <w:color w:val="000000"/>
                <w:kern w:val="0"/>
                <w:sz w:val="20"/>
                <w:szCs w:val="20"/>
              </w:rPr>
            </w:pPr>
          </w:p>
        </w:tc>
        <w:tc>
          <w:tcPr>
            <w:tcW w:w="986" w:type="dxa"/>
            <w:gridSpan w:val="2"/>
            <w:vMerge w:val="continue"/>
            <w:vAlign w:val="center"/>
          </w:tcPr>
          <w:p>
            <w:pPr>
              <w:widowControl/>
              <w:jc w:val="left"/>
              <w:rPr>
                <w:rFonts w:hint="eastAsia" w:ascii="宋体" w:hAnsi="宋体" w:cs="宋体"/>
                <w:color w:val="000000"/>
                <w:kern w:val="0"/>
                <w:sz w:val="20"/>
                <w:szCs w:val="20"/>
              </w:rPr>
            </w:pPr>
          </w:p>
        </w:tc>
        <w:tc>
          <w:tcPr>
            <w:tcW w:w="844" w:type="dxa"/>
            <w:vMerge w:val="continue"/>
            <w:vAlign w:val="center"/>
          </w:tcPr>
          <w:p>
            <w:pPr>
              <w:widowControl/>
              <w:jc w:val="left"/>
              <w:rPr>
                <w:rFonts w:hint="eastAsia" w:ascii="宋体" w:hAnsi="宋体" w:cs="宋体"/>
                <w:color w:val="000000"/>
                <w:kern w:val="0"/>
                <w:sz w:val="20"/>
                <w:szCs w:val="20"/>
              </w:rPr>
            </w:pPr>
          </w:p>
        </w:tc>
        <w:tc>
          <w:tcPr>
            <w:tcW w:w="716" w:type="dxa"/>
            <w:vMerge w:val="continue"/>
            <w:vAlign w:val="center"/>
          </w:tcPr>
          <w:p>
            <w:pPr>
              <w:widowControl/>
              <w:jc w:val="left"/>
              <w:rPr>
                <w:rFonts w:hint="eastAsia" w:ascii="宋体" w:hAnsi="宋体" w:cs="宋体"/>
                <w:color w:val="000000"/>
                <w:kern w:val="0"/>
                <w:sz w:val="20"/>
                <w:szCs w:val="20"/>
              </w:rPr>
            </w:pPr>
          </w:p>
        </w:tc>
        <w:tc>
          <w:tcPr>
            <w:tcW w:w="1652" w:type="dxa"/>
            <w:gridSpan w:val="2"/>
            <w:vMerge w:val="continue"/>
            <w:vAlign w:val="center"/>
          </w:tcPr>
          <w:p>
            <w:pPr>
              <w:widowControl/>
              <w:jc w:val="left"/>
              <w:rPr>
                <w:rFonts w:hint="eastAsia" w:ascii="宋体" w:hAnsi="宋体" w:cs="宋体"/>
                <w:color w:val="000000"/>
                <w:kern w:val="0"/>
                <w:sz w:val="20"/>
                <w:szCs w:val="20"/>
              </w:rPr>
            </w:pPr>
          </w:p>
        </w:tc>
        <w:tc>
          <w:tcPr>
            <w:tcW w:w="1203" w:type="dxa"/>
            <w:gridSpan w:val="2"/>
            <w:vMerge w:val="continue"/>
            <w:vAlign w:val="center"/>
          </w:tcPr>
          <w:p>
            <w:pPr>
              <w:widowControl/>
              <w:jc w:val="left"/>
              <w:rPr>
                <w:rFonts w:hint="eastAsia" w:ascii="宋体" w:hAnsi="宋体" w:cs="宋体"/>
                <w:color w:val="000000"/>
                <w:kern w:val="0"/>
                <w:sz w:val="20"/>
                <w:szCs w:val="20"/>
              </w:rPr>
            </w:pPr>
          </w:p>
        </w:tc>
        <w:tc>
          <w:tcPr>
            <w:tcW w:w="1595"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86"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打造人大代表之家数量</w:t>
            </w:r>
          </w:p>
        </w:tc>
        <w:tc>
          <w:tcPr>
            <w:tcW w:w="84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&gt;=2个</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=2个</w:t>
            </w:r>
          </w:p>
        </w:tc>
        <w:tc>
          <w:tcPr>
            <w:tcW w:w="165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86"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改造供水管道数量</w:t>
            </w:r>
          </w:p>
        </w:tc>
        <w:tc>
          <w:tcPr>
            <w:tcW w:w="84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&gt;=220米</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=220米</w:t>
            </w:r>
          </w:p>
        </w:tc>
        <w:tc>
          <w:tcPr>
            <w:tcW w:w="165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86"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项目竣工验收合格率</w:t>
            </w:r>
          </w:p>
        </w:tc>
        <w:tc>
          <w:tcPr>
            <w:tcW w:w="84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65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986"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项目按计划完成时间</w:t>
            </w:r>
          </w:p>
        </w:tc>
        <w:tc>
          <w:tcPr>
            <w:tcW w:w="84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&lt;=2个月</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=2个月</w:t>
            </w:r>
          </w:p>
        </w:tc>
        <w:tc>
          <w:tcPr>
            <w:tcW w:w="165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986"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4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65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986"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施工安全事故发生率</w:t>
            </w:r>
          </w:p>
        </w:tc>
        <w:tc>
          <w:tcPr>
            <w:tcW w:w="84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65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0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9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986"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环境污染事件发生率</w:t>
            </w:r>
          </w:p>
        </w:tc>
        <w:tc>
          <w:tcPr>
            <w:tcW w:w="84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65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0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9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986"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5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0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9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986"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受益居民人数</w:t>
            </w:r>
          </w:p>
        </w:tc>
        <w:tc>
          <w:tcPr>
            <w:tcW w:w="84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&gt;=1500人</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=1500人</w:t>
            </w:r>
          </w:p>
        </w:tc>
        <w:tc>
          <w:tcPr>
            <w:tcW w:w="165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0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59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986"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5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0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9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86"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群众满意度</w:t>
            </w:r>
          </w:p>
        </w:tc>
        <w:tc>
          <w:tcPr>
            <w:tcW w:w="84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65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072"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165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0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59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仿宋_GB2312" w:hAnsi="仿宋_GB2312" w:eastAsia="仿宋_GB2312" w:cs="仿宋_GB2312"/>
          <w:kern w:val="0"/>
          <w:sz w:val="32"/>
          <w:szCs w:val="32"/>
          <w:lang w:eastAsia="zh-Hans"/>
        </w:rPr>
      </w:pPr>
    </w:p>
    <w:tbl>
      <w:tblPr>
        <w:tblStyle w:val="9"/>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694"/>
        <w:gridCol w:w="142"/>
        <w:gridCol w:w="708"/>
        <w:gridCol w:w="142"/>
        <w:gridCol w:w="817"/>
        <w:gridCol w:w="716"/>
        <w:gridCol w:w="526"/>
        <w:gridCol w:w="1139"/>
        <w:gridCol w:w="468"/>
        <w:gridCol w:w="739"/>
        <w:gridCol w:w="782"/>
        <w:gridCol w:w="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8522" w:type="dxa"/>
            <w:gridSpan w:val="14"/>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522" w:type="dxa"/>
            <w:gridSpan w:val="1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90" w:type="dxa"/>
            <w:gridSpan w:val="1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新建西路再就业市场二楼小平房维修资金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503"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木垒县木垒镇政府</w:t>
            </w:r>
          </w:p>
        </w:tc>
        <w:tc>
          <w:tcPr>
            <w:tcW w:w="124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945"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83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3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24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60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52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83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5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w:t>
            </w:r>
          </w:p>
        </w:tc>
        <w:tc>
          <w:tcPr>
            <w:tcW w:w="8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w:t>
            </w:r>
          </w:p>
        </w:tc>
        <w:tc>
          <w:tcPr>
            <w:tcW w:w="124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w:t>
            </w:r>
          </w:p>
        </w:tc>
        <w:tc>
          <w:tcPr>
            <w:tcW w:w="160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2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83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5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w:t>
            </w:r>
          </w:p>
        </w:tc>
        <w:tc>
          <w:tcPr>
            <w:tcW w:w="8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w:t>
            </w:r>
          </w:p>
        </w:tc>
        <w:tc>
          <w:tcPr>
            <w:tcW w:w="124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w:t>
            </w:r>
          </w:p>
        </w:tc>
        <w:tc>
          <w:tcPr>
            <w:tcW w:w="160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2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836"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850"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817"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242"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60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2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919"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5187"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2919" w:type="dxa"/>
            <w:gridSpan w:val="6"/>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1号文件要求，计划使用新建西路再就业市场二楼小平房维修资金3万元，对民族再就业市场二楼小平房进行烫顶、粉刷、清理垃圾等，房屋面积为170平方米，项目实施后，可提高鑫金新大厦住户满意效益及商铺商户满意效益。</w:t>
            </w:r>
          </w:p>
        </w:tc>
        <w:tc>
          <w:tcPr>
            <w:tcW w:w="5187" w:type="dxa"/>
            <w:gridSpan w:val="7"/>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项目已完成如下工作：计划使用新建西路再就业市场二楼小平房维修资金3万元，对民族再就业市场二楼小平房进行烫顶、粉刷、清理垃圾等，房屋面积为170平方米，项目实施后，可提高鑫金新大厦住户满意效益及商铺商户满意效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9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850"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59"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1665"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207"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599"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vMerge w:val="continue"/>
            <w:vAlign w:val="center"/>
          </w:tcPr>
          <w:p>
            <w:pPr>
              <w:widowControl/>
              <w:jc w:val="left"/>
              <w:rPr>
                <w:rFonts w:hint="eastAsia" w:ascii="宋体" w:hAnsi="宋体" w:cs="宋体"/>
                <w:color w:val="000000"/>
                <w:kern w:val="0"/>
                <w:sz w:val="20"/>
                <w:szCs w:val="20"/>
              </w:rPr>
            </w:pPr>
          </w:p>
        </w:tc>
        <w:tc>
          <w:tcPr>
            <w:tcW w:w="850" w:type="dxa"/>
            <w:gridSpan w:val="2"/>
            <w:vMerge w:val="continue"/>
            <w:vAlign w:val="center"/>
          </w:tcPr>
          <w:p>
            <w:pPr>
              <w:widowControl/>
              <w:jc w:val="left"/>
              <w:rPr>
                <w:rFonts w:hint="eastAsia" w:ascii="宋体" w:hAnsi="宋体" w:cs="宋体"/>
                <w:color w:val="000000"/>
                <w:kern w:val="0"/>
                <w:sz w:val="20"/>
                <w:szCs w:val="20"/>
              </w:rPr>
            </w:pPr>
          </w:p>
        </w:tc>
        <w:tc>
          <w:tcPr>
            <w:tcW w:w="959" w:type="dxa"/>
            <w:gridSpan w:val="2"/>
            <w:vMerge w:val="continue"/>
            <w:vAlign w:val="center"/>
          </w:tcPr>
          <w:p>
            <w:pPr>
              <w:widowControl/>
              <w:jc w:val="left"/>
              <w:rPr>
                <w:rFonts w:hint="eastAsia" w:ascii="宋体" w:hAnsi="宋体" w:cs="宋体"/>
                <w:color w:val="000000"/>
                <w:kern w:val="0"/>
                <w:sz w:val="20"/>
                <w:szCs w:val="20"/>
              </w:rPr>
            </w:pPr>
          </w:p>
        </w:tc>
        <w:tc>
          <w:tcPr>
            <w:tcW w:w="716" w:type="dxa"/>
            <w:vMerge w:val="continue"/>
            <w:vAlign w:val="center"/>
          </w:tcPr>
          <w:p>
            <w:pPr>
              <w:widowControl/>
              <w:jc w:val="left"/>
              <w:rPr>
                <w:rFonts w:hint="eastAsia" w:ascii="宋体" w:hAnsi="宋体" w:cs="宋体"/>
                <w:color w:val="000000"/>
                <w:kern w:val="0"/>
                <w:sz w:val="20"/>
                <w:szCs w:val="20"/>
              </w:rPr>
            </w:pPr>
          </w:p>
        </w:tc>
        <w:tc>
          <w:tcPr>
            <w:tcW w:w="1665" w:type="dxa"/>
            <w:gridSpan w:val="2"/>
            <w:vMerge w:val="continue"/>
            <w:vAlign w:val="center"/>
          </w:tcPr>
          <w:p>
            <w:pPr>
              <w:widowControl/>
              <w:jc w:val="left"/>
              <w:rPr>
                <w:rFonts w:hint="eastAsia" w:ascii="宋体" w:hAnsi="宋体" w:cs="宋体"/>
                <w:color w:val="000000"/>
                <w:kern w:val="0"/>
                <w:sz w:val="20"/>
                <w:szCs w:val="20"/>
              </w:rPr>
            </w:pPr>
          </w:p>
        </w:tc>
        <w:tc>
          <w:tcPr>
            <w:tcW w:w="1207" w:type="dxa"/>
            <w:gridSpan w:val="2"/>
            <w:vMerge w:val="continue"/>
            <w:vAlign w:val="center"/>
          </w:tcPr>
          <w:p>
            <w:pPr>
              <w:widowControl/>
              <w:jc w:val="left"/>
              <w:rPr>
                <w:rFonts w:hint="eastAsia" w:ascii="宋体" w:hAnsi="宋体" w:cs="宋体"/>
                <w:color w:val="000000"/>
                <w:kern w:val="0"/>
                <w:sz w:val="20"/>
                <w:szCs w:val="20"/>
              </w:rPr>
            </w:pPr>
          </w:p>
        </w:tc>
        <w:tc>
          <w:tcPr>
            <w:tcW w:w="1599"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85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修缮房屋面积</w:t>
            </w:r>
          </w:p>
        </w:tc>
        <w:tc>
          <w:tcPr>
            <w:tcW w:w="9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=170平方米</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=170平方米</w:t>
            </w:r>
          </w:p>
        </w:tc>
        <w:tc>
          <w:tcPr>
            <w:tcW w:w="166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85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工程竣工验收合格率</w:t>
            </w:r>
          </w:p>
        </w:tc>
        <w:tc>
          <w:tcPr>
            <w:tcW w:w="9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66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85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项目按计划完成时间</w:t>
            </w:r>
          </w:p>
        </w:tc>
        <w:tc>
          <w:tcPr>
            <w:tcW w:w="9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&lt;=30天</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=30天</w:t>
            </w:r>
          </w:p>
        </w:tc>
        <w:tc>
          <w:tcPr>
            <w:tcW w:w="166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0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59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85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9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66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85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拖欠工人工资事件</w:t>
            </w:r>
          </w:p>
        </w:tc>
        <w:tc>
          <w:tcPr>
            <w:tcW w:w="9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=0件</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=0件</w:t>
            </w:r>
          </w:p>
        </w:tc>
        <w:tc>
          <w:tcPr>
            <w:tcW w:w="166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85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6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0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9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85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6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0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9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85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受益群众人数</w:t>
            </w:r>
          </w:p>
        </w:tc>
        <w:tc>
          <w:tcPr>
            <w:tcW w:w="9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&gt;=200人</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=200人</w:t>
            </w:r>
          </w:p>
        </w:tc>
        <w:tc>
          <w:tcPr>
            <w:tcW w:w="166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0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59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85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大厦正常运转率</w:t>
            </w:r>
          </w:p>
        </w:tc>
        <w:tc>
          <w:tcPr>
            <w:tcW w:w="9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66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20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59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85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6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0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9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5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商铺居民满意度</w:t>
            </w:r>
          </w:p>
        </w:tc>
        <w:tc>
          <w:tcPr>
            <w:tcW w:w="9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66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0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9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5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居住居民满意度</w:t>
            </w:r>
          </w:p>
        </w:tc>
        <w:tc>
          <w:tcPr>
            <w:tcW w:w="9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66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0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9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051" w:type="dxa"/>
            <w:gridSpan w:val="8"/>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166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0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59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仿宋_GB2312" w:hAnsi="仿宋_GB2312" w:eastAsia="仿宋_GB2312" w:cs="仿宋_GB2312"/>
          <w:kern w:val="0"/>
          <w:sz w:val="32"/>
          <w:szCs w:val="32"/>
          <w:lang w:eastAsia="zh-Hans"/>
        </w:rPr>
      </w:pPr>
    </w:p>
    <w:tbl>
      <w:tblPr>
        <w:tblStyle w:val="9"/>
        <w:tblW w:w="853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7"/>
        <w:gridCol w:w="416"/>
        <w:gridCol w:w="700"/>
        <w:gridCol w:w="142"/>
        <w:gridCol w:w="1275"/>
        <w:gridCol w:w="7"/>
        <w:gridCol w:w="1269"/>
        <w:gridCol w:w="992"/>
        <w:gridCol w:w="284"/>
        <w:gridCol w:w="372"/>
        <w:gridCol w:w="13"/>
        <w:gridCol w:w="403"/>
        <w:gridCol w:w="711"/>
        <w:gridCol w:w="13"/>
        <w:gridCol w:w="709"/>
        <w:gridCol w:w="802"/>
        <w:gridCol w:w="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1" w:type="dxa"/>
          <w:trHeight w:val="405" w:hRule="atLeast"/>
          <w:jc w:val="center"/>
        </w:trPr>
        <w:tc>
          <w:tcPr>
            <w:tcW w:w="8525" w:type="dxa"/>
            <w:gridSpan w:val="16"/>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1" w:type="dxa"/>
          <w:trHeight w:val="270" w:hRule="atLeast"/>
          <w:jc w:val="center"/>
        </w:trPr>
        <w:tc>
          <w:tcPr>
            <w:tcW w:w="8525" w:type="dxa"/>
            <w:gridSpan w:val="1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1" w:type="dxa"/>
          <w:trHeight w:val="270" w:hRule="atLeast"/>
          <w:jc w:val="center"/>
        </w:trPr>
        <w:tc>
          <w:tcPr>
            <w:tcW w:w="83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92" w:type="dxa"/>
            <w:gridSpan w:val="1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中央补助地方公共文化服务体系建设补助资金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1" w:type="dxa"/>
          <w:trHeight w:val="270" w:hRule="atLeast"/>
          <w:jc w:val="center"/>
        </w:trPr>
        <w:tc>
          <w:tcPr>
            <w:tcW w:w="83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393"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木垒县木垒镇政府</w:t>
            </w:r>
          </w:p>
        </w:tc>
        <w:tc>
          <w:tcPr>
            <w:tcW w:w="12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023"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1" w:type="dxa"/>
          <w:trHeight w:val="480" w:hRule="atLeast"/>
          <w:jc w:val="center"/>
        </w:trPr>
        <w:tc>
          <w:tcPr>
            <w:tcW w:w="833"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4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2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2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88"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433"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0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1" w:type="dxa"/>
          <w:trHeight w:val="439" w:hRule="atLeast"/>
          <w:jc w:val="center"/>
        </w:trPr>
        <w:tc>
          <w:tcPr>
            <w:tcW w:w="833" w:type="dxa"/>
            <w:gridSpan w:val="2"/>
            <w:vMerge w:val="continue"/>
            <w:vAlign w:val="center"/>
          </w:tcPr>
          <w:p>
            <w:pPr>
              <w:widowControl/>
              <w:jc w:val="left"/>
              <w:rPr>
                <w:rFonts w:hint="eastAsia" w:ascii="宋体" w:hAnsi="宋体" w:cs="宋体"/>
                <w:color w:val="000000"/>
                <w:kern w:val="0"/>
                <w:sz w:val="20"/>
                <w:szCs w:val="20"/>
              </w:rPr>
            </w:pPr>
          </w:p>
        </w:tc>
        <w:tc>
          <w:tcPr>
            <w:tcW w:w="84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12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12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788"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33"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0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1" w:type="dxa"/>
          <w:trHeight w:val="439" w:hRule="atLeast"/>
          <w:jc w:val="center"/>
        </w:trPr>
        <w:tc>
          <w:tcPr>
            <w:tcW w:w="833" w:type="dxa"/>
            <w:gridSpan w:val="2"/>
            <w:vMerge w:val="continue"/>
            <w:vAlign w:val="center"/>
          </w:tcPr>
          <w:p>
            <w:pPr>
              <w:widowControl/>
              <w:jc w:val="left"/>
              <w:rPr>
                <w:rFonts w:hint="eastAsia" w:ascii="宋体" w:hAnsi="宋体" w:cs="宋体"/>
                <w:color w:val="000000"/>
                <w:kern w:val="0"/>
                <w:sz w:val="20"/>
                <w:szCs w:val="20"/>
              </w:rPr>
            </w:pPr>
          </w:p>
        </w:tc>
        <w:tc>
          <w:tcPr>
            <w:tcW w:w="84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12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12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788"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33"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0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1" w:type="dxa"/>
          <w:trHeight w:val="439" w:hRule="atLeast"/>
          <w:jc w:val="center"/>
        </w:trPr>
        <w:tc>
          <w:tcPr>
            <w:tcW w:w="833" w:type="dxa"/>
            <w:gridSpan w:val="2"/>
            <w:vMerge w:val="continue"/>
            <w:vAlign w:val="center"/>
          </w:tcPr>
          <w:p>
            <w:pPr>
              <w:widowControl/>
              <w:jc w:val="left"/>
              <w:rPr>
                <w:rFonts w:hint="eastAsia" w:ascii="宋体" w:hAnsi="宋体" w:cs="宋体"/>
                <w:color w:val="000000"/>
                <w:kern w:val="0"/>
                <w:sz w:val="20"/>
                <w:szCs w:val="20"/>
              </w:rPr>
            </w:pPr>
          </w:p>
        </w:tc>
        <w:tc>
          <w:tcPr>
            <w:tcW w:w="842"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1275"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276"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276"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788"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33"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0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1" w:type="dxa"/>
          <w:trHeight w:val="270" w:hRule="atLeast"/>
          <w:jc w:val="center"/>
        </w:trPr>
        <w:tc>
          <w:tcPr>
            <w:tcW w:w="4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809"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299" w:type="dxa"/>
            <w:gridSpan w:val="9"/>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1" w:type="dxa"/>
          <w:trHeight w:val="540"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3809" w:type="dxa"/>
            <w:gridSpan w:val="6"/>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昌州财教【2022】6号《关于提前下达2023年中央支持公共文化体系建设补助资金的通知(新时代文明实践中心建设项目）》文件要求，计划要求，计划使用中央支持地方文化服务体系建设补助资金，整合各种资源，创新方式方法，健全体制机制，资金用于木垒镇人民政府明珠社区打造新时代文明实践站，推进新时代文明实践站建设与基层党建、文化润疆融汇贯通，实现更大发展、发挥更大作用。</w:t>
            </w:r>
          </w:p>
        </w:tc>
        <w:tc>
          <w:tcPr>
            <w:tcW w:w="4299" w:type="dxa"/>
            <w:gridSpan w:val="9"/>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项目已完成如下工作：完成使用中央支持地方文化服务体系建设补助资金，整合各种资源，创新方式方法，健全体制机制，资金用于木垒镇人民政府明珠社区打造新时代文明实践站，推进新时代文明实践站建设与基层党建、文化润疆融汇贯通，实现更大发展、发挥更大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70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424" w:type="dxa"/>
            <w:gridSpan w:val="3"/>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269"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992"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69" w:type="dxa"/>
            <w:gridSpan w:val="3"/>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127" w:type="dxa"/>
            <w:gridSpan w:val="3"/>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522" w:type="dxa"/>
            <w:gridSpan w:val="3"/>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00" w:type="dxa"/>
            <w:vMerge w:val="continue"/>
            <w:vAlign w:val="center"/>
          </w:tcPr>
          <w:p>
            <w:pPr>
              <w:widowControl/>
              <w:jc w:val="left"/>
              <w:rPr>
                <w:rFonts w:hint="eastAsia" w:ascii="宋体" w:hAnsi="宋体" w:cs="宋体"/>
                <w:color w:val="000000"/>
                <w:kern w:val="0"/>
                <w:sz w:val="20"/>
                <w:szCs w:val="20"/>
              </w:rPr>
            </w:pPr>
          </w:p>
        </w:tc>
        <w:tc>
          <w:tcPr>
            <w:tcW w:w="1424" w:type="dxa"/>
            <w:gridSpan w:val="3"/>
            <w:vMerge w:val="continue"/>
            <w:vAlign w:val="center"/>
          </w:tcPr>
          <w:p>
            <w:pPr>
              <w:widowControl/>
              <w:jc w:val="left"/>
              <w:rPr>
                <w:rFonts w:hint="eastAsia" w:ascii="宋体" w:hAnsi="宋体" w:cs="宋体"/>
                <w:color w:val="000000"/>
                <w:kern w:val="0"/>
                <w:sz w:val="20"/>
                <w:szCs w:val="20"/>
              </w:rPr>
            </w:pPr>
          </w:p>
        </w:tc>
        <w:tc>
          <w:tcPr>
            <w:tcW w:w="1269" w:type="dxa"/>
            <w:vMerge w:val="continue"/>
            <w:vAlign w:val="center"/>
          </w:tcPr>
          <w:p>
            <w:pPr>
              <w:widowControl/>
              <w:jc w:val="left"/>
              <w:rPr>
                <w:rFonts w:hint="eastAsia" w:ascii="宋体" w:hAnsi="宋体" w:cs="宋体"/>
                <w:color w:val="000000"/>
                <w:kern w:val="0"/>
                <w:sz w:val="20"/>
                <w:szCs w:val="20"/>
              </w:rPr>
            </w:pPr>
          </w:p>
        </w:tc>
        <w:tc>
          <w:tcPr>
            <w:tcW w:w="992" w:type="dxa"/>
            <w:vMerge w:val="continue"/>
            <w:vAlign w:val="center"/>
          </w:tcPr>
          <w:p>
            <w:pPr>
              <w:widowControl/>
              <w:jc w:val="left"/>
              <w:rPr>
                <w:rFonts w:hint="eastAsia" w:ascii="宋体" w:hAnsi="宋体" w:cs="宋体"/>
                <w:color w:val="000000"/>
                <w:kern w:val="0"/>
                <w:sz w:val="20"/>
                <w:szCs w:val="20"/>
              </w:rPr>
            </w:pPr>
          </w:p>
        </w:tc>
        <w:tc>
          <w:tcPr>
            <w:tcW w:w="669" w:type="dxa"/>
            <w:gridSpan w:val="3"/>
            <w:vMerge w:val="continue"/>
            <w:vAlign w:val="center"/>
          </w:tcPr>
          <w:p>
            <w:pPr>
              <w:widowControl/>
              <w:jc w:val="left"/>
              <w:rPr>
                <w:rFonts w:hint="eastAsia" w:ascii="宋体" w:hAnsi="宋体" w:cs="宋体"/>
                <w:color w:val="000000"/>
                <w:kern w:val="0"/>
                <w:sz w:val="20"/>
                <w:szCs w:val="20"/>
              </w:rPr>
            </w:pPr>
          </w:p>
        </w:tc>
        <w:tc>
          <w:tcPr>
            <w:tcW w:w="1127" w:type="dxa"/>
            <w:gridSpan w:val="3"/>
            <w:vMerge w:val="continue"/>
            <w:vAlign w:val="center"/>
          </w:tcPr>
          <w:p>
            <w:pPr>
              <w:widowControl/>
              <w:jc w:val="left"/>
              <w:rPr>
                <w:rFonts w:hint="eastAsia" w:ascii="宋体" w:hAnsi="宋体" w:cs="宋体"/>
                <w:color w:val="000000"/>
                <w:kern w:val="0"/>
                <w:sz w:val="20"/>
                <w:szCs w:val="20"/>
              </w:rPr>
            </w:pPr>
          </w:p>
        </w:tc>
        <w:tc>
          <w:tcPr>
            <w:tcW w:w="1522" w:type="dxa"/>
            <w:gridSpan w:val="3"/>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70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2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新时代文明实践站建设数量</w:t>
            </w:r>
          </w:p>
        </w:tc>
        <w:tc>
          <w:tcPr>
            <w:tcW w:w="12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&gt;=1个</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669"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27"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22"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0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2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文明实践志愿服务队伍数量</w:t>
            </w:r>
          </w:p>
        </w:tc>
        <w:tc>
          <w:tcPr>
            <w:tcW w:w="12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&gt;=6支</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=6支</w:t>
            </w:r>
          </w:p>
        </w:tc>
        <w:tc>
          <w:tcPr>
            <w:tcW w:w="669"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27"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22"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0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2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全年开展集中性活动</w:t>
            </w:r>
          </w:p>
        </w:tc>
        <w:tc>
          <w:tcPr>
            <w:tcW w:w="12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&gt;=20场（次）</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20（场）次</w:t>
            </w:r>
          </w:p>
        </w:tc>
        <w:tc>
          <w:tcPr>
            <w:tcW w:w="669"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27"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22"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0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2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有影响力的文明实践志愿服务活动品牌数量</w:t>
            </w:r>
          </w:p>
        </w:tc>
        <w:tc>
          <w:tcPr>
            <w:tcW w:w="12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&gt;=2支</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=2支</w:t>
            </w:r>
          </w:p>
        </w:tc>
        <w:tc>
          <w:tcPr>
            <w:tcW w:w="669"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27"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22"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0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2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新时代文明实践站建设完成率</w:t>
            </w:r>
          </w:p>
        </w:tc>
        <w:tc>
          <w:tcPr>
            <w:tcW w:w="12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9"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7"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22"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0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42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活动按时完成率</w:t>
            </w:r>
          </w:p>
        </w:tc>
        <w:tc>
          <w:tcPr>
            <w:tcW w:w="12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69"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7"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22"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70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42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12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9"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7"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22"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0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42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文明志愿者活动安全事故发生率</w:t>
            </w:r>
          </w:p>
        </w:tc>
        <w:tc>
          <w:tcPr>
            <w:tcW w:w="12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69"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7"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22"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0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42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9"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27"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22"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70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42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9"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27"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22"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0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42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文明实践志愿者骨干培训覆盖率</w:t>
            </w:r>
          </w:p>
        </w:tc>
        <w:tc>
          <w:tcPr>
            <w:tcW w:w="12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&gt;=92%</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=92%</w:t>
            </w:r>
          </w:p>
        </w:tc>
        <w:tc>
          <w:tcPr>
            <w:tcW w:w="669"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27"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522"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0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42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9"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27"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22"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0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2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群众满意度</w:t>
            </w:r>
          </w:p>
        </w:tc>
        <w:tc>
          <w:tcPr>
            <w:tcW w:w="12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69"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7"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22"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1" w:type="dxa"/>
          <w:trHeight w:val="270" w:hRule="atLeast"/>
          <w:jc w:val="center"/>
        </w:trPr>
        <w:tc>
          <w:tcPr>
            <w:tcW w:w="5218" w:type="dxa"/>
            <w:gridSpan w:val="8"/>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5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27"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524"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仿宋_GB2312" w:hAnsi="仿宋_GB2312" w:eastAsia="仿宋_GB2312" w:cs="仿宋_GB2312"/>
          <w:kern w:val="0"/>
          <w:sz w:val="32"/>
          <w:szCs w:val="32"/>
          <w:lang w:eastAsia="zh-Hans"/>
        </w:rPr>
      </w:pPr>
    </w:p>
    <w:tbl>
      <w:tblPr>
        <w:tblStyle w:val="9"/>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5"/>
        <w:gridCol w:w="414"/>
        <w:gridCol w:w="839"/>
        <w:gridCol w:w="850"/>
        <w:gridCol w:w="993"/>
        <w:gridCol w:w="708"/>
        <w:gridCol w:w="709"/>
        <w:gridCol w:w="657"/>
        <w:gridCol w:w="515"/>
        <w:gridCol w:w="760"/>
        <w:gridCol w:w="833"/>
        <w:gridCol w:w="8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8522" w:type="dxa"/>
            <w:gridSpan w:val="12"/>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522" w:type="dxa"/>
            <w:gridSpan w:val="1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2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93" w:type="dxa"/>
            <w:gridSpan w:val="10"/>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中央文化站免费开放专项资金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2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682"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木垒县木垒镇政府</w:t>
            </w:r>
          </w:p>
        </w:tc>
        <w:tc>
          <w:tcPr>
            <w:tcW w:w="141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594"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829"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3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41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1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59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2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29" w:type="dxa"/>
            <w:gridSpan w:val="2"/>
            <w:vMerge w:val="continue"/>
            <w:vAlign w:val="center"/>
          </w:tcPr>
          <w:p>
            <w:pPr>
              <w:widowControl/>
              <w:jc w:val="left"/>
              <w:rPr>
                <w:rFonts w:hint="eastAsia" w:ascii="宋体" w:hAnsi="宋体" w:cs="宋体"/>
                <w:color w:val="000000"/>
                <w:kern w:val="0"/>
                <w:sz w:val="20"/>
                <w:szCs w:val="20"/>
              </w:rPr>
            </w:pPr>
          </w:p>
        </w:tc>
        <w:tc>
          <w:tcPr>
            <w:tcW w:w="83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3.50</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3.50</w:t>
            </w:r>
          </w:p>
        </w:tc>
        <w:tc>
          <w:tcPr>
            <w:tcW w:w="141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3.50</w:t>
            </w:r>
          </w:p>
        </w:tc>
        <w:tc>
          <w:tcPr>
            <w:tcW w:w="11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2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29" w:type="dxa"/>
            <w:gridSpan w:val="2"/>
            <w:vMerge w:val="continue"/>
            <w:vAlign w:val="center"/>
          </w:tcPr>
          <w:p>
            <w:pPr>
              <w:widowControl/>
              <w:jc w:val="left"/>
              <w:rPr>
                <w:rFonts w:hint="eastAsia" w:ascii="宋体" w:hAnsi="宋体" w:cs="宋体"/>
                <w:color w:val="000000"/>
                <w:kern w:val="0"/>
                <w:sz w:val="20"/>
                <w:szCs w:val="20"/>
              </w:rPr>
            </w:pPr>
          </w:p>
        </w:tc>
        <w:tc>
          <w:tcPr>
            <w:tcW w:w="83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3.50</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3.50</w:t>
            </w:r>
          </w:p>
        </w:tc>
        <w:tc>
          <w:tcPr>
            <w:tcW w:w="141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3.50</w:t>
            </w:r>
          </w:p>
        </w:tc>
        <w:tc>
          <w:tcPr>
            <w:tcW w:w="11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9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2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29" w:type="dxa"/>
            <w:gridSpan w:val="2"/>
            <w:vMerge w:val="continue"/>
            <w:vAlign w:val="center"/>
          </w:tcPr>
          <w:p>
            <w:pPr>
              <w:widowControl/>
              <w:jc w:val="left"/>
              <w:rPr>
                <w:rFonts w:hint="eastAsia" w:ascii="宋体" w:hAnsi="宋体" w:cs="宋体"/>
                <w:color w:val="000000"/>
                <w:kern w:val="0"/>
                <w:sz w:val="20"/>
                <w:szCs w:val="20"/>
              </w:rPr>
            </w:pPr>
          </w:p>
        </w:tc>
        <w:tc>
          <w:tcPr>
            <w:tcW w:w="839"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850"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993"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417"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1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9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2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1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096"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5011"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415" w:type="dxa"/>
            <w:vMerge w:val="continue"/>
            <w:vAlign w:val="center"/>
          </w:tcPr>
          <w:p>
            <w:pPr>
              <w:widowControl/>
              <w:jc w:val="left"/>
              <w:rPr>
                <w:rFonts w:hint="eastAsia" w:ascii="宋体" w:hAnsi="宋体" w:cs="宋体"/>
                <w:color w:val="000000"/>
                <w:kern w:val="0"/>
                <w:sz w:val="20"/>
                <w:szCs w:val="20"/>
              </w:rPr>
            </w:pPr>
          </w:p>
        </w:tc>
        <w:tc>
          <w:tcPr>
            <w:tcW w:w="3096"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1号文件要求，计划使用中央文化站免费开放专项资金，贯彻落实中央、自治区党委关于推进““三馆一站”免费开放，丰富人民群众的精神文化生活“的要求，充分发挥“三馆一站”在提高公民鉴赏能力、提高各族群众思想道德和科学文化素质的作用，保障各族群众基本权益，促进社会和谐稳定。保障木垒镇免费开放文化站日常运转所需经费。</w:t>
            </w:r>
          </w:p>
        </w:tc>
        <w:tc>
          <w:tcPr>
            <w:tcW w:w="5011" w:type="dxa"/>
            <w:gridSpan w:val="7"/>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项目已完成如下工作：本项目免费开放文化站1个，举办活动4次，参与活动人数200人。完成中央文化站免费开放专项资金，贯彻落实中央、自治区党委关于推进“三馆一站”免费开放，丰富人民群众的精神文化生活“的要求，充分发挥“三馆一站”在提高公民鉴赏能力、提高各族群众思想道德和科学文化素质的作用，保障各族群众基本权益，促进社会和谐稳定。保障木垒镇免费开放文化站日常运转所需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839"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85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9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0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1366"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275"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66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5" w:type="dxa"/>
            <w:vMerge w:val="continue"/>
            <w:vAlign w:val="center"/>
          </w:tcPr>
          <w:p>
            <w:pPr>
              <w:widowControl/>
              <w:jc w:val="left"/>
              <w:rPr>
                <w:rFonts w:hint="eastAsia" w:ascii="宋体" w:hAnsi="宋体" w:cs="宋体"/>
                <w:color w:val="000000"/>
                <w:kern w:val="0"/>
                <w:sz w:val="20"/>
                <w:szCs w:val="20"/>
              </w:rPr>
            </w:pPr>
          </w:p>
        </w:tc>
        <w:tc>
          <w:tcPr>
            <w:tcW w:w="414" w:type="dxa"/>
            <w:vMerge w:val="continue"/>
            <w:vAlign w:val="center"/>
          </w:tcPr>
          <w:p>
            <w:pPr>
              <w:widowControl/>
              <w:jc w:val="left"/>
              <w:rPr>
                <w:rFonts w:hint="eastAsia" w:ascii="宋体" w:hAnsi="宋体" w:cs="宋体"/>
                <w:color w:val="000000"/>
                <w:kern w:val="0"/>
                <w:sz w:val="20"/>
                <w:szCs w:val="20"/>
              </w:rPr>
            </w:pPr>
          </w:p>
        </w:tc>
        <w:tc>
          <w:tcPr>
            <w:tcW w:w="839" w:type="dxa"/>
            <w:vMerge w:val="continue"/>
            <w:vAlign w:val="center"/>
          </w:tcPr>
          <w:p>
            <w:pPr>
              <w:widowControl/>
              <w:jc w:val="left"/>
              <w:rPr>
                <w:rFonts w:hint="eastAsia" w:ascii="宋体" w:hAnsi="宋体" w:cs="宋体"/>
                <w:color w:val="000000"/>
                <w:kern w:val="0"/>
                <w:sz w:val="20"/>
                <w:szCs w:val="20"/>
              </w:rPr>
            </w:pPr>
          </w:p>
        </w:tc>
        <w:tc>
          <w:tcPr>
            <w:tcW w:w="850" w:type="dxa"/>
            <w:vMerge w:val="continue"/>
            <w:vAlign w:val="center"/>
          </w:tcPr>
          <w:p>
            <w:pPr>
              <w:widowControl/>
              <w:jc w:val="left"/>
              <w:rPr>
                <w:rFonts w:hint="eastAsia" w:ascii="宋体" w:hAnsi="宋体" w:cs="宋体"/>
                <w:color w:val="000000"/>
                <w:kern w:val="0"/>
                <w:sz w:val="20"/>
                <w:szCs w:val="20"/>
              </w:rPr>
            </w:pPr>
          </w:p>
        </w:tc>
        <w:tc>
          <w:tcPr>
            <w:tcW w:w="993" w:type="dxa"/>
            <w:vMerge w:val="continue"/>
            <w:vAlign w:val="center"/>
          </w:tcPr>
          <w:p>
            <w:pPr>
              <w:widowControl/>
              <w:jc w:val="left"/>
              <w:rPr>
                <w:rFonts w:hint="eastAsia" w:ascii="宋体" w:hAnsi="宋体" w:cs="宋体"/>
                <w:color w:val="000000"/>
                <w:kern w:val="0"/>
                <w:sz w:val="20"/>
                <w:szCs w:val="20"/>
              </w:rPr>
            </w:pPr>
          </w:p>
        </w:tc>
        <w:tc>
          <w:tcPr>
            <w:tcW w:w="708" w:type="dxa"/>
            <w:vMerge w:val="continue"/>
            <w:vAlign w:val="center"/>
          </w:tcPr>
          <w:p>
            <w:pPr>
              <w:widowControl/>
              <w:jc w:val="left"/>
              <w:rPr>
                <w:rFonts w:hint="eastAsia" w:ascii="宋体" w:hAnsi="宋体" w:cs="宋体"/>
                <w:color w:val="000000"/>
                <w:kern w:val="0"/>
                <w:sz w:val="20"/>
                <w:szCs w:val="20"/>
              </w:rPr>
            </w:pPr>
          </w:p>
        </w:tc>
        <w:tc>
          <w:tcPr>
            <w:tcW w:w="1366" w:type="dxa"/>
            <w:gridSpan w:val="2"/>
            <w:vMerge w:val="continue"/>
            <w:vAlign w:val="center"/>
          </w:tcPr>
          <w:p>
            <w:pPr>
              <w:widowControl/>
              <w:jc w:val="left"/>
              <w:rPr>
                <w:rFonts w:hint="eastAsia" w:ascii="宋体" w:hAnsi="宋体" w:cs="宋体"/>
                <w:color w:val="000000"/>
                <w:kern w:val="0"/>
                <w:sz w:val="20"/>
                <w:szCs w:val="20"/>
              </w:rPr>
            </w:pPr>
          </w:p>
        </w:tc>
        <w:tc>
          <w:tcPr>
            <w:tcW w:w="1275" w:type="dxa"/>
            <w:gridSpan w:val="2"/>
            <w:vMerge w:val="continue"/>
            <w:vAlign w:val="center"/>
          </w:tcPr>
          <w:p>
            <w:pPr>
              <w:widowControl/>
              <w:jc w:val="left"/>
              <w:rPr>
                <w:rFonts w:hint="eastAsia" w:ascii="宋体" w:hAnsi="宋体" w:cs="宋体"/>
                <w:color w:val="000000"/>
                <w:kern w:val="0"/>
                <w:sz w:val="20"/>
                <w:szCs w:val="20"/>
              </w:rPr>
            </w:pPr>
          </w:p>
        </w:tc>
        <w:tc>
          <w:tcPr>
            <w:tcW w:w="1662"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83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85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免费开放乡镇文化站</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136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5" w:type="dxa"/>
            <w:vMerge w:val="continue"/>
            <w:vAlign w:val="center"/>
          </w:tcPr>
          <w:p>
            <w:pPr>
              <w:widowControl/>
              <w:jc w:val="left"/>
              <w:rPr>
                <w:rFonts w:hint="eastAsia" w:ascii="宋体" w:hAnsi="宋体" w:cs="宋体"/>
                <w:color w:val="000000"/>
                <w:kern w:val="0"/>
                <w:sz w:val="20"/>
                <w:szCs w:val="20"/>
              </w:rPr>
            </w:pPr>
          </w:p>
        </w:tc>
        <w:tc>
          <w:tcPr>
            <w:tcW w:w="414" w:type="dxa"/>
            <w:vMerge w:val="continue"/>
            <w:vAlign w:val="center"/>
          </w:tcPr>
          <w:p>
            <w:pPr>
              <w:widowControl/>
              <w:jc w:val="left"/>
              <w:rPr>
                <w:rFonts w:hint="eastAsia" w:ascii="宋体" w:hAnsi="宋体" w:cs="宋体"/>
                <w:color w:val="000000"/>
                <w:kern w:val="0"/>
                <w:sz w:val="20"/>
                <w:szCs w:val="20"/>
              </w:rPr>
            </w:pPr>
          </w:p>
        </w:tc>
        <w:tc>
          <w:tcPr>
            <w:tcW w:w="83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85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举办活动场次</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=4次</w:t>
            </w:r>
          </w:p>
        </w:tc>
        <w:tc>
          <w:tcPr>
            <w:tcW w:w="136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5" w:type="dxa"/>
            <w:vMerge w:val="continue"/>
            <w:vAlign w:val="center"/>
          </w:tcPr>
          <w:p>
            <w:pPr>
              <w:widowControl/>
              <w:jc w:val="left"/>
              <w:rPr>
                <w:rFonts w:hint="eastAsia" w:ascii="宋体" w:hAnsi="宋体" w:cs="宋体"/>
                <w:color w:val="000000"/>
                <w:kern w:val="0"/>
                <w:sz w:val="20"/>
                <w:szCs w:val="20"/>
              </w:rPr>
            </w:pPr>
          </w:p>
        </w:tc>
        <w:tc>
          <w:tcPr>
            <w:tcW w:w="414" w:type="dxa"/>
            <w:vMerge w:val="continue"/>
            <w:vAlign w:val="center"/>
          </w:tcPr>
          <w:p>
            <w:pPr>
              <w:widowControl/>
              <w:jc w:val="left"/>
              <w:rPr>
                <w:rFonts w:hint="eastAsia" w:ascii="宋体" w:hAnsi="宋体" w:cs="宋体"/>
                <w:color w:val="000000"/>
                <w:kern w:val="0"/>
                <w:sz w:val="20"/>
                <w:szCs w:val="20"/>
              </w:rPr>
            </w:pPr>
          </w:p>
        </w:tc>
        <w:tc>
          <w:tcPr>
            <w:tcW w:w="83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85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活动参与人数</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&gt;=200人</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=200人</w:t>
            </w:r>
          </w:p>
        </w:tc>
        <w:tc>
          <w:tcPr>
            <w:tcW w:w="136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5" w:type="dxa"/>
            <w:vMerge w:val="continue"/>
            <w:vAlign w:val="center"/>
          </w:tcPr>
          <w:p>
            <w:pPr>
              <w:widowControl/>
              <w:jc w:val="left"/>
              <w:rPr>
                <w:rFonts w:hint="eastAsia" w:ascii="宋体" w:hAnsi="宋体" w:cs="宋体"/>
                <w:color w:val="000000"/>
                <w:kern w:val="0"/>
                <w:sz w:val="20"/>
                <w:szCs w:val="20"/>
              </w:rPr>
            </w:pPr>
          </w:p>
        </w:tc>
        <w:tc>
          <w:tcPr>
            <w:tcW w:w="414" w:type="dxa"/>
            <w:vMerge w:val="continue"/>
            <w:vAlign w:val="center"/>
          </w:tcPr>
          <w:p>
            <w:pPr>
              <w:widowControl/>
              <w:jc w:val="left"/>
              <w:rPr>
                <w:rFonts w:hint="eastAsia" w:ascii="宋体" w:hAnsi="宋体" w:cs="宋体"/>
                <w:color w:val="000000"/>
                <w:kern w:val="0"/>
                <w:sz w:val="20"/>
                <w:szCs w:val="20"/>
              </w:rPr>
            </w:pPr>
          </w:p>
        </w:tc>
        <w:tc>
          <w:tcPr>
            <w:tcW w:w="83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85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免费开放覆盖率</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36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5" w:type="dxa"/>
            <w:vMerge w:val="continue"/>
            <w:vAlign w:val="center"/>
          </w:tcPr>
          <w:p>
            <w:pPr>
              <w:widowControl/>
              <w:jc w:val="left"/>
              <w:rPr>
                <w:rFonts w:hint="eastAsia" w:ascii="宋体" w:hAnsi="宋体" w:cs="宋体"/>
                <w:color w:val="000000"/>
                <w:kern w:val="0"/>
                <w:sz w:val="20"/>
                <w:szCs w:val="20"/>
              </w:rPr>
            </w:pPr>
          </w:p>
        </w:tc>
        <w:tc>
          <w:tcPr>
            <w:tcW w:w="414" w:type="dxa"/>
            <w:vMerge w:val="continue"/>
            <w:vAlign w:val="center"/>
          </w:tcPr>
          <w:p>
            <w:pPr>
              <w:widowControl/>
              <w:jc w:val="left"/>
              <w:rPr>
                <w:rFonts w:hint="eastAsia" w:ascii="宋体" w:hAnsi="宋体" w:cs="宋体"/>
                <w:color w:val="000000"/>
                <w:kern w:val="0"/>
                <w:sz w:val="20"/>
                <w:szCs w:val="20"/>
              </w:rPr>
            </w:pPr>
          </w:p>
        </w:tc>
        <w:tc>
          <w:tcPr>
            <w:tcW w:w="83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85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群众活动参与率</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136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5" w:type="dxa"/>
            <w:vMerge w:val="continue"/>
            <w:vAlign w:val="center"/>
          </w:tcPr>
          <w:p>
            <w:pPr>
              <w:widowControl/>
              <w:jc w:val="left"/>
              <w:rPr>
                <w:rFonts w:hint="eastAsia" w:ascii="宋体" w:hAnsi="宋体" w:cs="宋体"/>
                <w:color w:val="000000"/>
                <w:kern w:val="0"/>
                <w:sz w:val="20"/>
                <w:szCs w:val="20"/>
              </w:rPr>
            </w:pPr>
          </w:p>
        </w:tc>
        <w:tc>
          <w:tcPr>
            <w:tcW w:w="414" w:type="dxa"/>
            <w:vMerge w:val="continue"/>
            <w:vAlign w:val="center"/>
          </w:tcPr>
          <w:p>
            <w:pPr>
              <w:widowControl/>
              <w:jc w:val="left"/>
              <w:rPr>
                <w:rFonts w:hint="eastAsia" w:ascii="宋体" w:hAnsi="宋体" w:cs="宋体"/>
                <w:color w:val="000000"/>
                <w:kern w:val="0"/>
                <w:sz w:val="20"/>
                <w:szCs w:val="20"/>
              </w:rPr>
            </w:pPr>
          </w:p>
        </w:tc>
        <w:tc>
          <w:tcPr>
            <w:tcW w:w="83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85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补助资金使用率</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36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5" w:type="dxa"/>
            <w:vMerge w:val="continue"/>
            <w:vAlign w:val="center"/>
          </w:tcPr>
          <w:p>
            <w:pPr>
              <w:widowControl/>
              <w:jc w:val="left"/>
              <w:rPr>
                <w:rFonts w:hint="eastAsia" w:ascii="宋体" w:hAnsi="宋体" w:cs="宋体"/>
                <w:color w:val="000000"/>
                <w:kern w:val="0"/>
                <w:sz w:val="20"/>
                <w:szCs w:val="20"/>
              </w:rPr>
            </w:pPr>
          </w:p>
        </w:tc>
        <w:tc>
          <w:tcPr>
            <w:tcW w:w="414" w:type="dxa"/>
            <w:vMerge w:val="continue"/>
            <w:vAlign w:val="center"/>
          </w:tcPr>
          <w:p>
            <w:pPr>
              <w:widowControl/>
              <w:jc w:val="left"/>
              <w:rPr>
                <w:rFonts w:hint="eastAsia" w:ascii="宋体" w:hAnsi="宋体" w:cs="宋体"/>
                <w:color w:val="000000"/>
                <w:kern w:val="0"/>
                <w:sz w:val="20"/>
                <w:szCs w:val="20"/>
              </w:rPr>
            </w:pPr>
          </w:p>
        </w:tc>
        <w:tc>
          <w:tcPr>
            <w:tcW w:w="83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85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活动按时完成率</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36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5" w:type="dxa"/>
            <w:vMerge w:val="continue"/>
            <w:vAlign w:val="center"/>
          </w:tcPr>
          <w:p>
            <w:pPr>
              <w:widowControl/>
              <w:jc w:val="left"/>
              <w:rPr>
                <w:rFonts w:hint="eastAsia" w:ascii="宋体" w:hAnsi="宋体" w:cs="宋体"/>
                <w:color w:val="000000"/>
                <w:kern w:val="0"/>
                <w:sz w:val="20"/>
                <w:szCs w:val="20"/>
              </w:rPr>
            </w:pPr>
          </w:p>
        </w:tc>
        <w:tc>
          <w:tcPr>
            <w:tcW w:w="41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83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85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36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6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5" w:type="dxa"/>
            <w:vMerge w:val="continue"/>
            <w:vAlign w:val="center"/>
          </w:tcPr>
          <w:p>
            <w:pPr>
              <w:widowControl/>
              <w:jc w:val="left"/>
              <w:rPr>
                <w:rFonts w:hint="eastAsia" w:ascii="宋体" w:hAnsi="宋体" w:cs="宋体"/>
                <w:color w:val="000000"/>
                <w:kern w:val="0"/>
                <w:sz w:val="20"/>
                <w:szCs w:val="20"/>
              </w:rPr>
            </w:pPr>
          </w:p>
        </w:tc>
        <w:tc>
          <w:tcPr>
            <w:tcW w:w="414" w:type="dxa"/>
            <w:vMerge w:val="continue"/>
            <w:vAlign w:val="center"/>
          </w:tcPr>
          <w:p>
            <w:pPr>
              <w:widowControl/>
              <w:jc w:val="left"/>
              <w:rPr>
                <w:rFonts w:hint="eastAsia" w:ascii="宋体" w:hAnsi="宋体" w:cs="宋体"/>
                <w:color w:val="000000"/>
                <w:kern w:val="0"/>
                <w:sz w:val="20"/>
                <w:szCs w:val="20"/>
              </w:rPr>
            </w:pPr>
          </w:p>
        </w:tc>
        <w:tc>
          <w:tcPr>
            <w:tcW w:w="83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85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6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5" w:type="dxa"/>
            <w:vMerge w:val="continue"/>
            <w:vAlign w:val="center"/>
          </w:tcPr>
          <w:p>
            <w:pPr>
              <w:widowControl/>
              <w:jc w:val="left"/>
              <w:rPr>
                <w:rFonts w:hint="eastAsia" w:ascii="宋体" w:hAnsi="宋体" w:cs="宋体"/>
                <w:color w:val="000000"/>
                <w:kern w:val="0"/>
                <w:sz w:val="20"/>
                <w:szCs w:val="20"/>
              </w:rPr>
            </w:pPr>
          </w:p>
        </w:tc>
        <w:tc>
          <w:tcPr>
            <w:tcW w:w="414" w:type="dxa"/>
            <w:vMerge w:val="continue"/>
            <w:vAlign w:val="center"/>
          </w:tcPr>
          <w:p>
            <w:pPr>
              <w:widowControl/>
              <w:jc w:val="left"/>
              <w:rPr>
                <w:rFonts w:hint="eastAsia" w:ascii="宋体" w:hAnsi="宋体" w:cs="宋体"/>
                <w:color w:val="000000"/>
                <w:kern w:val="0"/>
                <w:sz w:val="20"/>
                <w:szCs w:val="20"/>
              </w:rPr>
            </w:pPr>
          </w:p>
        </w:tc>
        <w:tc>
          <w:tcPr>
            <w:tcW w:w="83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85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6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5" w:type="dxa"/>
            <w:vMerge w:val="continue"/>
            <w:vAlign w:val="center"/>
          </w:tcPr>
          <w:p>
            <w:pPr>
              <w:widowControl/>
              <w:jc w:val="left"/>
              <w:rPr>
                <w:rFonts w:hint="eastAsia" w:ascii="宋体" w:hAnsi="宋体" w:cs="宋体"/>
                <w:color w:val="000000"/>
                <w:kern w:val="0"/>
                <w:sz w:val="20"/>
                <w:szCs w:val="20"/>
              </w:rPr>
            </w:pPr>
          </w:p>
        </w:tc>
        <w:tc>
          <w:tcPr>
            <w:tcW w:w="41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83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85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6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5" w:type="dxa"/>
            <w:vMerge w:val="continue"/>
            <w:vAlign w:val="center"/>
          </w:tcPr>
          <w:p>
            <w:pPr>
              <w:widowControl/>
              <w:jc w:val="left"/>
              <w:rPr>
                <w:rFonts w:hint="eastAsia" w:ascii="宋体" w:hAnsi="宋体" w:cs="宋体"/>
                <w:color w:val="000000"/>
                <w:kern w:val="0"/>
                <w:sz w:val="20"/>
                <w:szCs w:val="20"/>
              </w:rPr>
            </w:pPr>
          </w:p>
        </w:tc>
        <w:tc>
          <w:tcPr>
            <w:tcW w:w="414" w:type="dxa"/>
            <w:vMerge w:val="continue"/>
            <w:vAlign w:val="center"/>
          </w:tcPr>
          <w:p>
            <w:pPr>
              <w:widowControl/>
              <w:jc w:val="left"/>
              <w:rPr>
                <w:rFonts w:hint="eastAsia" w:ascii="宋体" w:hAnsi="宋体" w:cs="宋体"/>
                <w:color w:val="000000"/>
                <w:kern w:val="0"/>
                <w:sz w:val="20"/>
                <w:szCs w:val="20"/>
              </w:rPr>
            </w:pPr>
          </w:p>
        </w:tc>
        <w:tc>
          <w:tcPr>
            <w:tcW w:w="83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85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受益居民人数</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&gt;=3000人</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=3000人</w:t>
            </w:r>
          </w:p>
        </w:tc>
        <w:tc>
          <w:tcPr>
            <w:tcW w:w="136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5" w:type="dxa"/>
            <w:vMerge w:val="continue"/>
            <w:vAlign w:val="center"/>
          </w:tcPr>
          <w:p>
            <w:pPr>
              <w:widowControl/>
              <w:jc w:val="left"/>
              <w:rPr>
                <w:rFonts w:hint="eastAsia" w:ascii="宋体" w:hAnsi="宋体" w:cs="宋体"/>
                <w:color w:val="000000"/>
                <w:kern w:val="0"/>
                <w:sz w:val="20"/>
                <w:szCs w:val="20"/>
              </w:rPr>
            </w:pPr>
          </w:p>
        </w:tc>
        <w:tc>
          <w:tcPr>
            <w:tcW w:w="414" w:type="dxa"/>
            <w:vMerge w:val="continue"/>
            <w:vAlign w:val="center"/>
          </w:tcPr>
          <w:p>
            <w:pPr>
              <w:widowControl/>
              <w:jc w:val="left"/>
              <w:rPr>
                <w:rFonts w:hint="eastAsia" w:ascii="宋体" w:hAnsi="宋体" w:cs="宋体"/>
                <w:color w:val="000000"/>
                <w:kern w:val="0"/>
                <w:sz w:val="20"/>
                <w:szCs w:val="20"/>
              </w:rPr>
            </w:pPr>
          </w:p>
        </w:tc>
        <w:tc>
          <w:tcPr>
            <w:tcW w:w="83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85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文化站正常运行率</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36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5" w:type="dxa"/>
            <w:vMerge w:val="continue"/>
            <w:vAlign w:val="center"/>
          </w:tcPr>
          <w:p>
            <w:pPr>
              <w:widowControl/>
              <w:jc w:val="left"/>
              <w:rPr>
                <w:rFonts w:hint="eastAsia" w:ascii="宋体" w:hAnsi="宋体" w:cs="宋体"/>
                <w:color w:val="000000"/>
                <w:kern w:val="0"/>
                <w:sz w:val="20"/>
                <w:szCs w:val="20"/>
              </w:rPr>
            </w:pPr>
          </w:p>
        </w:tc>
        <w:tc>
          <w:tcPr>
            <w:tcW w:w="414" w:type="dxa"/>
            <w:vMerge w:val="continue"/>
            <w:vAlign w:val="center"/>
          </w:tcPr>
          <w:p>
            <w:pPr>
              <w:widowControl/>
              <w:jc w:val="left"/>
              <w:rPr>
                <w:rFonts w:hint="eastAsia" w:ascii="宋体" w:hAnsi="宋体" w:cs="宋体"/>
                <w:color w:val="000000"/>
                <w:kern w:val="0"/>
                <w:sz w:val="20"/>
                <w:szCs w:val="20"/>
              </w:rPr>
            </w:pPr>
          </w:p>
        </w:tc>
        <w:tc>
          <w:tcPr>
            <w:tcW w:w="83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85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6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5" w:type="dxa"/>
            <w:vMerge w:val="continue"/>
            <w:vAlign w:val="center"/>
          </w:tcPr>
          <w:p>
            <w:pPr>
              <w:widowControl/>
              <w:jc w:val="left"/>
              <w:rPr>
                <w:rFonts w:hint="eastAsia" w:ascii="宋体" w:hAnsi="宋体" w:cs="宋体"/>
                <w:color w:val="000000"/>
                <w:kern w:val="0"/>
                <w:sz w:val="20"/>
                <w:szCs w:val="20"/>
              </w:rPr>
            </w:pPr>
          </w:p>
        </w:tc>
        <w:tc>
          <w:tcPr>
            <w:tcW w:w="41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3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5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参与活动群众满意度</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6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219"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136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6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仿宋_GB2312" w:hAnsi="仿宋_GB2312" w:eastAsia="仿宋_GB2312" w:cs="仿宋_GB2312"/>
          <w:kern w:val="0"/>
          <w:sz w:val="32"/>
          <w:szCs w:val="32"/>
          <w:lang w:eastAsia="zh-Hans"/>
        </w:rPr>
      </w:pPr>
    </w:p>
    <w:tbl>
      <w:tblPr>
        <w:tblStyle w:val="9"/>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694"/>
        <w:gridCol w:w="142"/>
        <w:gridCol w:w="850"/>
        <w:gridCol w:w="923"/>
        <w:gridCol w:w="716"/>
        <w:gridCol w:w="996"/>
        <w:gridCol w:w="610"/>
        <w:gridCol w:w="457"/>
        <w:gridCol w:w="730"/>
        <w:gridCol w:w="760"/>
        <w:gridCol w:w="8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8522" w:type="dxa"/>
            <w:gridSpan w:val="13"/>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522" w:type="dxa"/>
            <w:gridSpan w:val="1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90" w:type="dxa"/>
            <w:gridSpan w:val="11"/>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中央支持地方公共文化体系建设--新时代文明实践活动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609"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木垒县木垒镇政府</w:t>
            </w:r>
          </w:p>
        </w:tc>
        <w:tc>
          <w:tcPr>
            <w:tcW w:w="171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369"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83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3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9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71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06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49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1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83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w:t>
            </w:r>
          </w:p>
        </w:tc>
        <w:tc>
          <w:tcPr>
            <w:tcW w:w="9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w:t>
            </w:r>
          </w:p>
        </w:tc>
        <w:tc>
          <w:tcPr>
            <w:tcW w:w="171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w:t>
            </w:r>
          </w:p>
        </w:tc>
        <w:tc>
          <w:tcPr>
            <w:tcW w:w="106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9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1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83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w:t>
            </w:r>
          </w:p>
        </w:tc>
        <w:tc>
          <w:tcPr>
            <w:tcW w:w="9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w:t>
            </w:r>
          </w:p>
        </w:tc>
        <w:tc>
          <w:tcPr>
            <w:tcW w:w="171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w:t>
            </w:r>
          </w:p>
        </w:tc>
        <w:tc>
          <w:tcPr>
            <w:tcW w:w="106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9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836"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850"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923"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712"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06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9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025"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5081"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3025" w:type="dxa"/>
            <w:gridSpan w:val="5"/>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依据昌州财办教【2022】6号，计划使用中央支持地方公共文化体系建设--新时代文明实践活动2万元。</w:t>
            </w:r>
          </w:p>
        </w:tc>
        <w:tc>
          <w:tcPr>
            <w:tcW w:w="5081" w:type="dxa"/>
            <w:gridSpan w:val="7"/>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本项目已完成如下工作：新时代文明实践站建设数量1个，有影响力的文明实践志愿服务活动品牌数量2支。完成使用中央支持地方公共文化体系建设--新时代文明实践活动2万元。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9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99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2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1606"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187"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57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vMerge w:val="continue"/>
            <w:vAlign w:val="center"/>
          </w:tcPr>
          <w:p>
            <w:pPr>
              <w:widowControl/>
              <w:jc w:val="left"/>
              <w:rPr>
                <w:rFonts w:hint="eastAsia" w:ascii="宋体" w:hAnsi="宋体" w:cs="宋体"/>
                <w:color w:val="000000"/>
                <w:kern w:val="0"/>
                <w:sz w:val="20"/>
                <w:szCs w:val="20"/>
              </w:rPr>
            </w:pPr>
          </w:p>
        </w:tc>
        <w:tc>
          <w:tcPr>
            <w:tcW w:w="992" w:type="dxa"/>
            <w:gridSpan w:val="2"/>
            <w:vMerge w:val="continue"/>
            <w:vAlign w:val="center"/>
          </w:tcPr>
          <w:p>
            <w:pPr>
              <w:widowControl/>
              <w:jc w:val="left"/>
              <w:rPr>
                <w:rFonts w:hint="eastAsia" w:ascii="宋体" w:hAnsi="宋体" w:cs="宋体"/>
                <w:color w:val="000000"/>
                <w:kern w:val="0"/>
                <w:sz w:val="20"/>
                <w:szCs w:val="20"/>
              </w:rPr>
            </w:pPr>
          </w:p>
        </w:tc>
        <w:tc>
          <w:tcPr>
            <w:tcW w:w="923" w:type="dxa"/>
            <w:vMerge w:val="continue"/>
            <w:vAlign w:val="center"/>
          </w:tcPr>
          <w:p>
            <w:pPr>
              <w:widowControl/>
              <w:jc w:val="left"/>
              <w:rPr>
                <w:rFonts w:hint="eastAsia" w:ascii="宋体" w:hAnsi="宋体" w:cs="宋体"/>
                <w:color w:val="000000"/>
                <w:kern w:val="0"/>
                <w:sz w:val="20"/>
                <w:szCs w:val="20"/>
              </w:rPr>
            </w:pPr>
          </w:p>
        </w:tc>
        <w:tc>
          <w:tcPr>
            <w:tcW w:w="716" w:type="dxa"/>
            <w:vMerge w:val="continue"/>
            <w:vAlign w:val="center"/>
          </w:tcPr>
          <w:p>
            <w:pPr>
              <w:widowControl/>
              <w:jc w:val="left"/>
              <w:rPr>
                <w:rFonts w:hint="eastAsia" w:ascii="宋体" w:hAnsi="宋体" w:cs="宋体"/>
                <w:color w:val="000000"/>
                <w:kern w:val="0"/>
                <w:sz w:val="20"/>
                <w:szCs w:val="20"/>
              </w:rPr>
            </w:pPr>
          </w:p>
        </w:tc>
        <w:tc>
          <w:tcPr>
            <w:tcW w:w="1606" w:type="dxa"/>
            <w:gridSpan w:val="2"/>
            <w:vMerge w:val="continue"/>
            <w:vAlign w:val="center"/>
          </w:tcPr>
          <w:p>
            <w:pPr>
              <w:widowControl/>
              <w:jc w:val="left"/>
              <w:rPr>
                <w:rFonts w:hint="eastAsia" w:ascii="宋体" w:hAnsi="宋体" w:cs="宋体"/>
                <w:color w:val="000000"/>
                <w:kern w:val="0"/>
                <w:sz w:val="20"/>
                <w:szCs w:val="20"/>
              </w:rPr>
            </w:pPr>
          </w:p>
        </w:tc>
        <w:tc>
          <w:tcPr>
            <w:tcW w:w="1187" w:type="dxa"/>
            <w:gridSpan w:val="2"/>
            <w:vMerge w:val="continue"/>
            <w:vAlign w:val="center"/>
          </w:tcPr>
          <w:p>
            <w:pPr>
              <w:widowControl/>
              <w:jc w:val="left"/>
              <w:rPr>
                <w:rFonts w:hint="eastAsia" w:ascii="宋体" w:hAnsi="宋体" w:cs="宋体"/>
                <w:color w:val="000000"/>
                <w:kern w:val="0"/>
                <w:sz w:val="20"/>
                <w:szCs w:val="20"/>
              </w:rPr>
            </w:pPr>
          </w:p>
        </w:tc>
        <w:tc>
          <w:tcPr>
            <w:tcW w:w="1572"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9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新时代文明实践站建设数量</w:t>
            </w:r>
          </w:p>
        </w:tc>
        <w:tc>
          <w:tcPr>
            <w:tcW w:w="9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&gt;=1个</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160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9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有影响力的文明实践志愿服务活动品牌数量</w:t>
            </w:r>
          </w:p>
        </w:tc>
        <w:tc>
          <w:tcPr>
            <w:tcW w:w="9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&gt;=2支</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=2支</w:t>
            </w:r>
          </w:p>
        </w:tc>
        <w:tc>
          <w:tcPr>
            <w:tcW w:w="160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9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新时代文明实践站建设完成率</w:t>
            </w:r>
          </w:p>
        </w:tc>
        <w:tc>
          <w:tcPr>
            <w:tcW w:w="9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60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99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活动按时完成率</w:t>
            </w:r>
          </w:p>
        </w:tc>
        <w:tc>
          <w:tcPr>
            <w:tcW w:w="9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60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99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9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60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99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文明志愿活动安全事故发生率</w:t>
            </w:r>
          </w:p>
        </w:tc>
        <w:tc>
          <w:tcPr>
            <w:tcW w:w="9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60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99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0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99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0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99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新时代文明实践政策知晓率</w:t>
            </w:r>
          </w:p>
        </w:tc>
        <w:tc>
          <w:tcPr>
            <w:tcW w:w="9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160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8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5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99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0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9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群众满意度</w:t>
            </w:r>
          </w:p>
        </w:tc>
        <w:tc>
          <w:tcPr>
            <w:tcW w:w="9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60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157"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160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8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5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仿宋_GB2312" w:hAnsi="仿宋_GB2312" w:eastAsia="仿宋_GB2312" w:cs="仿宋_GB2312"/>
          <w:kern w:val="0"/>
          <w:sz w:val="32"/>
          <w:szCs w:val="32"/>
          <w:lang w:eastAsia="zh-Hans"/>
        </w:rPr>
      </w:pPr>
    </w:p>
    <w:tbl>
      <w:tblPr>
        <w:tblStyle w:val="9"/>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7"/>
        <w:gridCol w:w="416"/>
        <w:gridCol w:w="693"/>
        <w:gridCol w:w="142"/>
        <w:gridCol w:w="850"/>
        <w:gridCol w:w="817"/>
        <w:gridCol w:w="716"/>
        <w:gridCol w:w="1039"/>
        <w:gridCol w:w="623"/>
        <w:gridCol w:w="473"/>
        <w:gridCol w:w="738"/>
        <w:gridCol w:w="781"/>
        <w:gridCol w:w="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8522" w:type="dxa"/>
            <w:gridSpan w:val="13"/>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522" w:type="dxa"/>
            <w:gridSpan w:val="1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89" w:type="dxa"/>
            <w:gridSpan w:val="11"/>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自治区文化站免费开放专项资金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502"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木垒县木垒镇政府</w:t>
            </w:r>
          </w:p>
        </w:tc>
        <w:tc>
          <w:tcPr>
            <w:tcW w:w="175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432"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833"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3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75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09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51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3" w:type="dxa"/>
            <w:gridSpan w:val="2"/>
            <w:vMerge w:val="continue"/>
            <w:vAlign w:val="center"/>
          </w:tcPr>
          <w:p>
            <w:pPr>
              <w:widowControl/>
              <w:jc w:val="left"/>
              <w:rPr>
                <w:rFonts w:hint="eastAsia" w:ascii="宋体" w:hAnsi="宋体" w:cs="宋体"/>
                <w:color w:val="000000"/>
                <w:kern w:val="0"/>
                <w:sz w:val="20"/>
                <w:szCs w:val="20"/>
              </w:rPr>
            </w:pPr>
          </w:p>
        </w:tc>
        <w:tc>
          <w:tcPr>
            <w:tcW w:w="83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0.70</w:t>
            </w:r>
          </w:p>
        </w:tc>
        <w:tc>
          <w:tcPr>
            <w:tcW w:w="8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0.70</w:t>
            </w:r>
          </w:p>
        </w:tc>
        <w:tc>
          <w:tcPr>
            <w:tcW w:w="175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0.70</w:t>
            </w:r>
          </w:p>
        </w:tc>
        <w:tc>
          <w:tcPr>
            <w:tcW w:w="109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1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3" w:type="dxa"/>
            <w:gridSpan w:val="2"/>
            <w:vMerge w:val="continue"/>
            <w:vAlign w:val="center"/>
          </w:tcPr>
          <w:p>
            <w:pPr>
              <w:widowControl/>
              <w:jc w:val="left"/>
              <w:rPr>
                <w:rFonts w:hint="eastAsia" w:ascii="宋体" w:hAnsi="宋体" w:cs="宋体"/>
                <w:color w:val="000000"/>
                <w:kern w:val="0"/>
                <w:sz w:val="20"/>
                <w:szCs w:val="20"/>
              </w:rPr>
            </w:pPr>
          </w:p>
        </w:tc>
        <w:tc>
          <w:tcPr>
            <w:tcW w:w="83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0.70</w:t>
            </w:r>
          </w:p>
        </w:tc>
        <w:tc>
          <w:tcPr>
            <w:tcW w:w="8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0.70</w:t>
            </w:r>
          </w:p>
        </w:tc>
        <w:tc>
          <w:tcPr>
            <w:tcW w:w="175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0.70</w:t>
            </w:r>
          </w:p>
        </w:tc>
        <w:tc>
          <w:tcPr>
            <w:tcW w:w="109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1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3" w:type="dxa"/>
            <w:gridSpan w:val="2"/>
            <w:vMerge w:val="continue"/>
            <w:vAlign w:val="center"/>
          </w:tcPr>
          <w:p>
            <w:pPr>
              <w:widowControl/>
              <w:jc w:val="left"/>
              <w:rPr>
                <w:rFonts w:hint="eastAsia" w:ascii="宋体" w:hAnsi="宋体" w:cs="宋体"/>
                <w:color w:val="000000"/>
                <w:kern w:val="0"/>
                <w:sz w:val="20"/>
                <w:szCs w:val="20"/>
              </w:rPr>
            </w:pPr>
          </w:p>
        </w:tc>
        <w:tc>
          <w:tcPr>
            <w:tcW w:w="835"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850"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817"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755"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09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1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918"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5187"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2918" w:type="dxa"/>
            <w:gridSpan w:val="5"/>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计划使用自治区文化站免费开放专项资金，贯彻落实中央、自治区党委关于推进““三馆一站”免费开放，丰富人民群众的精神文化生活“的要求，充分发挥“三馆一站”在提高公民鉴赏能力、提高各族群众思想道德和科学文化素质的作用，保障各族群众基本权益，促进社会和谐稳定。保障木垒镇免费开放文化站日常运转所需经费。</w:t>
            </w:r>
          </w:p>
        </w:tc>
        <w:tc>
          <w:tcPr>
            <w:tcW w:w="5187" w:type="dxa"/>
            <w:gridSpan w:val="7"/>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项目已完成如下工作：完成使用自治区文化站免费开放专项资金，贯彻落实中央、自治区党委关于推进““三馆一站”免费开放，丰富人民群众的精神文化生活“的要求，充分发挥“三馆一站”在提高公民鉴赏能力、提高各族群众思想道德和科学文化素质的作用，保障各族群众基本权益，促进社会和谐稳定。保障木垒镇免费开放文化站日常运转所需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9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99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166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211"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598"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vMerge w:val="continue"/>
            <w:vAlign w:val="center"/>
          </w:tcPr>
          <w:p>
            <w:pPr>
              <w:widowControl/>
              <w:jc w:val="left"/>
              <w:rPr>
                <w:rFonts w:hint="eastAsia" w:ascii="宋体" w:hAnsi="宋体" w:cs="宋体"/>
                <w:color w:val="000000"/>
                <w:kern w:val="0"/>
                <w:sz w:val="20"/>
                <w:szCs w:val="20"/>
              </w:rPr>
            </w:pPr>
          </w:p>
        </w:tc>
        <w:tc>
          <w:tcPr>
            <w:tcW w:w="992" w:type="dxa"/>
            <w:gridSpan w:val="2"/>
            <w:vMerge w:val="continue"/>
            <w:vAlign w:val="center"/>
          </w:tcPr>
          <w:p>
            <w:pPr>
              <w:widowControl/>
              <w:jc w:val="left"/>
              <w:rPr>
                <w:rFonts w:hint="eastAsia" w:ascii="宋体" w:hAnsi="宋体" w:cs="宋体"/>
                <w:color w:val="000000"/>
                <w:kern w:val="0"/>
                <w:sz w:val="20"/>
                <w:szCs w:val="20"/>
              </w:rPr>
            </w:pPr>
          </w:p>
        </w:tc>
        <w:tc>
          <w:tcPr>
            <w:tcW w:w="817" w:type="dxa"/>
            <w:vMerge w:val="continue"/>
            <w:vAlign w:val="center"/>
          </w:tcPr>
          <w:p>
            <w:pPr>
              <w:widowControl/>
              <w:jc w:val="left"/>
              <w:rPr>
                <w:rFonts w:hint="eastAsia" w:ascii="宋体" w:hAnsi="宋体" w:cs="宋体"/>
                <w:color w:val="000000"/>
                <w:kern w:val="0"/>
                <w:sz w:val="20"/>
                <w:szCs w:val="20"/>
              </w:rPr>
            </w:pPr>
          </w:p>
        </w:tc>
        <w:tc>
          <w:tcPr>
            <w:tcW w:w="716" w:type="dxa"/>
            <w:vMerge w:val="continue"/>
            <w:vAlign w:val="center"/>
          </w:tcPr>
          <w:p>
            <w:pPr>
              <w:widowControl/>
              <w:jc w:val="left"/>
              <w:rPr>
                <w:rFonts w:hint="eastAsia" w:ascii="宋体" w:hAnsi="宋体" w:cs="宋体"/>
                <w:color w:val="000000"/>
                <w:kern w:val="0"/>
                <w:sz w:val="20"/>
                <w:szCs w:val="20"/>
              </w:rPr>
            </w:pPr>
          </w:p>
        </w:tc>
        <w:tc>
          <w:tcPr>
            <w:tcW w:w="1662" w:type="dxa"/>
            <w:gridSpan w:val="2"/>
            <w:vMerge w:val="continue"/>
            <w:vAlign w:val="center"/>
          </w:tcPr>
          <w:p>
            <w:pPr>
              <w:widowControl/>
              <w:jc w:val="left"/>
              <w:rPr>
                <w:rFonts w:hint="eastAsia" w:ascii="宋体" w:hAnsi="宋体" w:cs="宋体"/>
                <w:color w:val="000000"/>
                <w:kern w:val="0"/>
                <w:sz w:val="20"/>
                <w:szCs w:val="20"/>
              </w:rPr>
            </w:pPr>
          </w:p>
        </w:tc>
        <w:tc>
          <w:tcPr>
            <w:tcW w:w="1211" w:type="dxa"/>
            <w:gridSpan w:val="2"/>
            <w:vMerge w:val="continue"/>
            <w:vAlign w:val="center"/>
          </w:tcPr>
          <w:p>
            <w:pPr>
              <w:widowControl/>
              <w:jc w:val="left"/>
              <w:rPr>
                <w:rFonts w:hint="eastAsia" w:ascii="宋体" w:hAnsi="宋体" w:cs="宋体"/>
                <w:color w:val="000000"/>
                <w:kern w:val="0"/>
                <w:sz w:val="20"/>
                <w:szCs w:val="20"/>
              </w:rPr>
            </w:pPr>
          </w:p>
        </w:tc>
        <w:tc>
          <w:tcPr>
            <w:tcW w:w="1598"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9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免费开放乡镇文化站</w:t>
            </w:r>
          </w:p>
        </w:tc>
        <w:tc>
          <w:tcPr>
            <w:tcW w:w="8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16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1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9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9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举办活动场次</w:t>
            </w:r>
          </w:p>
        </w:tc>
        <w:tc>
          <w:tcPr>
            <w:tcW w:w="8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=4次</w:t>
            </w:r>
          </w:p>
        </w:tc>
        <w:tc>
          <w:tcPr>
            <w:tcW w:w="16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1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9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9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活动参与人数</w:t>
            </w:r>
          </w:p>
        </w:tc>
        <w:tc>
          <w:tcPr>
            <w:tcW w:w="8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&gt;=200人</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=200人</w:t>
            </w:r>
          </w:p>
        </w:tc>
        <w:tc>
          <w:tcPr>
            <w:tcW w:w="16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1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9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9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免费开放覆盖率</w:t>
            </w:r>
          </w:p>
        </w:tc>
        <w:tc>
          <w:tcPr>
            <w:tcW w:w="8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6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1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9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9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群众活动参与率</w:t>
            </w:r>
          </w:p>
        </w:tc>
        <w:tc>
          <w:tcPr>
            <w:tcW w:w="8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16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1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9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9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补助资金使用率</w:t>
            </w:r>
          </w:p>
        </w:tc>
        <w:tc>
          <w:tcPr>
            <w:tcW w:w="8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6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1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9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99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活动按时完成率</w:t>
            </w:r>
          </w:p>
        </w:tc>
        <w:tc>
          <w:tcPr>
            <w:tcW w:w="8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6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99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6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1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59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99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1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9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99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1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9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99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1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9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99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受益居民人数</w:t>
            </w:r>
          </w:p>
        </w:tc>
        <w:tc>
          <w:tcPr>
            <w:tcW w:w="8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&gt;=3000人</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=3000人</w:t>
            </w:r>
          </w:p>
        </w:tc>
        <w:tc>
          <w:tcPr>
            <w:tcW w:w="16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99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文化站正常运行率</w:t>
            </w:r>
          </w:p>
        </w:tc>
        <w:tc>
          <w:tcPr>
            <w:tcW w:w="8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6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99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1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9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9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参与活动群众满意度</w:t>
            </w:r>
          </w:p>
        </w:tc>
        <w:tc>
          <w:tcPr>
            <w:tcW w:w="8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6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051"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16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1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59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黑体" w:hAnsi="黑体" w:eastAsia="黑体" w:cs="宋体"/>
          <w:bCs/>
          <w:kern w:val="0"/>
          <w:sz w:val="32"/>
          <w:szCs w:val="32"/>
        </w:rPr>
      </w:pPr>
    </w:p>
    <w:p>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pPr>
        <w:jc w:val="center"/>
        <w:outlineLvl w:val="0"/>
        <w:rPr>
          <w:rFonts w:hint="eastAsia" w:ascii="黑体" w:hAnsi="黑体" w:eastAsia="黑体"/>
          <w:sz w:val="32"/>
          <w:szCs w:val="32"/>
        </w:rPr>
      </w:pPr>
      <w:bookmarkStart w:id="30" w:name="_Toc24143"/>
      <w:bookmarkStart w:id="31" w:name="_Toc3250"/>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ind w:firstLine="640" w:firstLineChars="200"/>
        <w:outlineLvl w:val="1"/>
        <w:rPr>
          <w:rFonts w:hint="eastAsia"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pPr>
        <w:ind w:firstLine="640" w:firstLineChars="200"/>
        <w:outlineLvl w:val="1"/>
        <w:rPr>
          <w:rFonts w:hint="eastAsia"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pPr>
        <w:ind w:firstLine="640" w:firstLineChars="200"/>
        <w:outlineLvl w:val="1"/>
        <w:rPr>
          <w:rFonts w:hint="eastAsia"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pPr>
        <w:ind w:firstLine="640" w:firstLineChars="200"/>
        <w:outlineLvl w:val="1"/>
        <w:rPr>
          <w:rFonts w:hint="eastAsia"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pPr>
        <w:ind w:firstLine="640" w:firstLineChars="200"/>
        <w:outlineLvl w:val="1"/>
        <w:rPr>
          <w:rFonts w:hint="eastAsia"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pPr>
        <w:ind w:firstLine="640" w:firstLineChars="200"/>
        <w:outlineLvl w:val="1"/>
        <w:rPr>
          <w:rFonts w:hint="eastAsia"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pPr>
        <w:ind w:firstLine="640" w:firstLineChars="200"/>
        <w:outlineLvl w:val="1"/>
        <w:rPr>
          <w:rFonts w:hint="eastAsia"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ind w:firstLine="640" w:firstLineChars="200"/>
        <w:rPr>
          <w:rFonts w:ascii="仿宋_GB2312" w:eastAsia="仿宋_GB2312"/>
          <w:sz w:val="32"/>
          <w:szCs w:val="32"/>
        </w:rPr>
      </w:pPr>
    </w:p>
    <w:p>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t>18</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zql5uc8AAAAFAQAADwAAAAAAAAABACAAAAAiAAAAZHJzL2Rvd25yZXYueG1sUEsBAhQAFAAAAAgA&#10;h07iQBbUj9C8AQAAZAMAAA4AAAAAAAAAAQAgAAAAHgEAAGRycy9lMm9Eb2MueG1sUEsFBgAAAAAG&#10;AAYAWQEAAEwFA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18</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8E68E3"/>
    <w:rsid w:val="0003136D"/>
    <w:rsid w:val="00045FC8"/>
    <w:rsid w:val="00181550"/>
    <w:rsid w:val="00196CA8"/>
    <w:rsid w:val="001A4375"/>
    <w:rsid w:val="001F6728"/>
    <w:rsid w:val="001F73A7"/>
    <w:rsid w:val="00213C59"/>
    <w:rsid w:val="002B6FC5"/>
    <w:rsid w:val="002D07A8"/>
    <w:rsid w:val="003049EC"/>
    <w:rsid w:val="003210CE"/>
    <w:rsid w:val="0034509D"/>
    <w:rsid w:val="00376A84"/>
    <w:rsid w:val="00383D5E"/>
    <w:rsid w:val="003927D9"/>
    <w:rsid w:val="003D03C6"/>
    <w:rsid w:val="003E7FFB"/>
    <w:rsid w:val="00404A75"/>
    <w:rsid w:val="004D19B3"/>
    <w:rsid w:val="004D4BE5"/>
    <w:rsid w:val="004F3317"/>
    <w:rsid w:val="00570804"/>
    <w:rsid w:val="005758CC"/>
    <w:rsid w:val="00594969"/>
    <w:rsid w:val="005F029E"/>
    <w:rsid w:val="0070113E"/>
    <w:rsid w:val="00721FD0"/>
    <w:rsid w:val="00750945"/>
    <w:rsid w:val="00770C0C"/>
    <w:rsid w:val="00865870"/>
    <w:rsid w:val="00871420"/>
    <w:rsid w:val="008A12B8"/>
    <w:rsid w:val="008E68E3"/>
    <w:rsid w:val="00934374"/>
    <w:rsid w:val="00A60A1A"/>
    <w:rsid w:val="00A703F3"/>
    <w:rsid w:val="00B05ED0"/>
    <w:rsid w:val="00B10071"/>
    <w:rsid w:val="00B22A3F"/>
    <w:rsid w:val="00B70D59"/>
    <w:rsid w:val="00BB66C8"/>
    <w:rsid w:val="00C01624"/>
    <w:rsid w:val="00C5319E"/>
    <w:rsid w:val="00C93A96"/>
    <w:rsid w:val="00D0645A"/>
    <w:rsid w:val="00D14D4D"/>
    <w:rsid w:val="00DE6194"/>
    <w:rsid w:val="00E71053"/>
    <w:rsid w:val="00ED60F2"/>
    <w:rsid w:val="00F52A8D"/>
    <w:rsid w:val="00F57410"/>
    <w:rsid w:val="00FA581F"/>
    <w:rsid w:val="00FF134E"/>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9B74235"/>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C81EA2"/>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9E348E"/>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61</Pages>
  <Words>9789</Words>
  <Characters>11494</Characters>
  <Lines>237</Lines>
  <Paragraphs>66</Paragraphs>
  <TotalTime>5</TotalTime>
  <ScaleCrop>false</ScaleCrop>
  <LinksUpToDate>false</LinksUpToDate>
  <CharactersWithSpaces>11604</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2025-04-23T02:41:42Z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D624B15633CD43C8BF9435464A96BF70</vt:lpwstr>
  </property>
  <property fmtid="{D5CDD505-2E9C-101B-9397-08002B2CF9AE}" pid="4" name="KSOTemplateDocerSaveRecord">
    <vt:lpwstr>eyJoZGlkIjoiMzEwNTM5NzYwMDRjMzkwZTVkZjY2ODkwMGIxNGU0OTUiLCJ1c2VySWQiOiIxMTcxMDQ1MzEwIn0=</vt:lpwstr>
  </property>
</Properties>
</file>